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99" w:rsidRPr="00DE30FC" w:rsidRDefault="00914999" w:rsidP="000A40EB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חוק התכנון ובניה, התשכ"ה- 1965</w:t>
      </w:r>
    </w:p>
    <w:p w:rsidR="00914999" w:rsidRPr="00DE30FC" w:rsidRDefault="00914999" w:rsidP="000A40EB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מחוז: חיפה, מרחב תכנון מקומי:מנשה-אלונה עירון</w:t>
      </w:r>
    </w:p>
    <w:p w:rsidR="00914999" w:rsidRPr="00DE30FC" w:rsidRDefault="00914999" w:rsidP="000A40EB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הודעה בדבר הפקדת תכנית מפורטת מס' 354-0947119</w:t>
      </w:r>
    </w:p>
    <w:p w:rsidR="00914999" w:rsidRPr="00DE30FC" w:rsidRDefault="00914999" w:rsidP="000A40EB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שם התכנית:בקה אל גרביה צפון</w:t>
      </w:r>
    </w:p>
    <w:p w:rsidR="00914999" w:rsidRPr="00DE30FC" w:rsidRDefault="00914999" w:rsidP="007225D1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גרסת התכנית: הוראות- 71 תשריט- 35</w:t>
      </w:r>
    </w:p>
    <w:p w:rsidR="007B3020" w:rsidRDefault="007B3020" w:rsidP="00CB1EA5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2D04A2" w:rsidRDefault="00914999" w:rsidP="00F75902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נמסרת בזה הודעה, בהתאם לסעיף 89 לחוק התכנון והבניה, התשכ"ה- 19</w:t>
      </w:r>
      <w:r w:rsidR="00CB1EA5" w:rsidRPr="00DE30FC">
        <w:rPr>
          <w:rFonts w:ascii="David" w:hAnsi="David" w:cs="David"/>
          <w:sz w:val="24"/>
          <w:szCs w:val="24"/>
          <w:rtl/>
          <w:lang w:bidi="he-IL"/>
        </w:rPr>
        <w:t>6</w:t>
      </w:r>
      <w:r w:rsidRPr="00DE30FC">
        <w:rPr>
          <w:rFonts w:ascii="David" w:hAnsi="David" w:cs="David"/>
          <w:sz w:val="24"/>
          <w:szCs w:val="24"/>
          <w:rtl/>
          <w:lang w:bidi="he-IL"/>
        </w:rPr>
        <w:t>5(להלן "החוק"), כי במשרד הועד</w:t>
      </w:r>
      <w:r w:rsidR="00F75902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המחוזית </w:t>
      </w:r>
      <w:r w:rsidR="007225D1" w:rsidRPr="00DE30FC">
        <w:rPr>
          <w:rFonts w:ascii="David" w:hAnsi="David" w:cs="David"/>
          <w:sz w:val="24"/>
          <w:szCs w:val="24"/>
          <w:rtl/>
          <w:lang w:bidi="he-IL"/>
        </w:rPr>
        <w:t xml:space="preserve">                                  </w:t>
      </w: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לתכנון </w:t>
      </w:r>
      <w:r w:rsidR="002F18AF" w:rsidRPr="00DE30FC">
        <w:rPr>
          <w:rFonts w:ascii="David" w:hAnsi="David" w:cs="David"/>
          <w:sz w:val="24"/>
          <w:szCs w:val="24"/>
          <w:rtl/>
          <w:lang w:bidi="he-IL"/>
        </w:rPr>
        <w:t xml:space="preserve">ולבניה מחוז חיפה ובמשרדי הועדה </w:t>
      </w:r>
      <w:r w:rsidR="002D04A2" w:rsidRPr="00DE30FC">
        <w:rPr>
          <w:rFonts w:ascii="David" w:hAnsi="David" w:cs="David"/>
          <w:sz w:val="24"/>
          <w:szCs w:val="24"/>
          <w:rtl/>
          <w:lang w:bidi="he-IL"/>
        </w:rPr>
        <w:t>המקומית לתכנון ולבניה שה אלונה-ד.נ חפר 37845, עירון מופקדת תכנית מפורטת</w:t>
      </w:r>
      <w:r w:rsidR="007225D1" w:rsidRPr="00DE30FC">
        <w:rPr>
          <w:rFonts w:ascii="David" w:hAnsi="David" w:cs="David"/>
          <w:sz w:val="24"/>
          <w:szCs w:val="24"/>
          <w:rtl/>
          <w:lang w:bidi="he-IL"/>
        </w:rPr>
        <w:t xml:space="preserve">                             </w:t>
      </w:r>
      <w:r w:rsidR="002D04A2" w:rsidRPr="00DE30FC">
        <w:rPr>
          <w:rFonts w:ascii="David" w:hAnsi="David" w:cs="David"/>
          <w:sz w:val="24"/>
          <w:szCs w:val="24"/>
          <w:rtl/>
          <w:lang w:bidi="he-IL"/>
        </w:rPr>
        <w:t xml:space="preserve"> מס': 354-0947119</w:t>
      </w:r>
      <w:r w:rsidR="007B3020">
        <w:rPr>
          <w:rFonts w:ascii="David" w:hAnsi="David" w:cs="David" w:hint="cs"/>
          <w:sz w:val="24"/>
          <w:szCs w:val="24"/>
          <w:rtl/>
          <w:lang w:bidi="he-IL"/>
        </w:rPr>
        <w:t>.</w:t>
      </w:r>
    </w:p>
    <w:p w:rsidR="007B3020" w:rsidRPr="00DE30FC" w:rsidRDefault="007B3020" w:rsidP="00CB1EA5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2D04A2" w:rsidRPr="00DE30FC" w:rsidRDefault="002D04A2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>איחוד וחלוקה:</w:t>
      </w: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איחוד ו/או חלוקה ללא הסכמת כל הבעלים בכל תחום התכנית/ בחלק מתחום התכנית</w:t>
      </w:r>
    </w:p>
    <w:p w:rsidR="002D04A2" w:rsidRPr="00DE30FC" w:rsidRDefault="002D04A2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התרי בניה והרשאות: </w:t>
      </w:r>
      <w:r w:rsidRPr="00DE30FC">
        <w:rPr>
          <w:rFonts w:ascii="David" w:hAnsi="David" w:cs="David"/>
          <w:sz w:val="24"/>
          <w:szCs w:val="24"/>
          <w:rtl/>
          <w:lang w:bidi="he-IL"/>
        </w:rPr>
        <w:t>תכנית שמכוחה ניתן להוציא היתרים או הרשאות</w:t>
      </w:r>
    </w:p>
    <w:p w:rsidR="007B3020" w:rsidRDefault="007B3020" w:rsidP="000A40E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2D04A2" w:rsidRPr="00DE30FC" w:rsidRDefault="002D04A2" w:rsidP="000A40E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המתייחסות לתכניות </w:t>
      </w:r>
      <w:r w:rsidR="00F703B6"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>הבאות: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>סוג היחס                           מספר התכנית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שינוי                                  משח/ 31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שינוי                                  354-0094177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שינוי                                  ענ/125   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שינוי                                  משח/ 30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כפיפות                               תמא/ 1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כפיפות                               ענ/ במ/ 358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>השטחים הכלולים בתכנית ומקומם:</w:t>
      </w:r>
    </w:p>
    <w:p w:rsidR="00F703B6" w:rsidRPr="00DE30FC" w:rsidRDefault="00F703B6" w:rsidP="00F75902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ישוב: מצר רחוב:</w:t>
      </w:r>
      <w:r w:rsidR="00F75902">
        <w:rPr>
          <w:rFonts w:ascii="David" w:hAnsi="David" w:cs="David" w:hint="cs"/>
          <w:sz w:val="24"/>
          <w:szCs w:val="24"/>
          <w:rtl/>
          <w:lang w:bidi="he-IL"/>
        </w:rPr>
        <w:t>.</w:t>
      </w:r>
    </w:p>
    <w:p w:rsidR="00F703B6" w:rsidRPr="00DE30FC" w:rsidRDefault="00F703B6" w:rsidP="00F75902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ישוב: באקה אל גרביה רחוב:</w:t>
      </w:r>
      <w:r w:rsidR="00F75902">
        <w:rPr>
          <w:rFonts w:ascii="David" w:hAnsi="David" w:cs="David" w:hint="cs"/>
          <w:sz w:val="24"/>
          <w:szCs w:val="24"/>
          <w:rtl/>
          <w:lang w:bidi="he-IL"/>
        </w:rPr>
        <w:t>.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צפון העיר בקה אלגרביה, מזרחית לדרך מס' 574.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קואורדינטה </w:t>
      </w:r>
      <w:r w:rsidRPr="00DE30FC">
        <w:rPr>
          <w:rFonts w:ascii="David" w:hAnsi="David" w:cs="David"/>
          <w:sz w:val="24"/>
          <w:szCs w:val="24"/>
          <w:lang w:bidi="he-IL"/>
        </w:rPr>
        <w:t>X</w:t>
      </w:r>
      <w:r w:rsidRPr="00DE30FC">
        <w:rPr>
          <w:rFonts w:ascii="David" w:hAnsi="David" w:cs="David"/>
          <w:sz w:val="24"/>
          <w:szCs w:val="24"/>
          <w:rtl/>
          <w:lang w:bidi="he-IL"/>
        </w:rPr>
        <w:t>: 203203</w:t>
      </w:r>
    </w:p>
    <w:p w:rsidR="00F703B6" w:rsidRPr="00DE30FC" w:rsidRDefault="00F703B6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קואורדינ</w:t>
      </w:r>
      <w:r w:rsidR="002F4FDF" w:rsidRPr="00DE30FC">
        <w:rPr>
          <w:rFonts w:ascii="David" w:hAnsi="David" w:cs="David"/>
          <w:sz w:val="24"/>
          <w:szCs w:val="24"/>
          <w:rtl/>
          <w:lang w:bidi="he-IL"/>
        </w:rPr>
        <w:t xml:space="preserve">טה </w:t>
      </w:r>
      <w:r w:rsidR="002F4FDF" w:rsidRPr="00DE30FC">
        <w:rPr>
          <w:rFonts w:ascii="David" w:hAnsi="David" w:cs="David"/>
          <w:sz w:val="24"/>
          <w:szCs w:val="24"/>
          <w:lang w:bidi="he-IL"/>
        </w:rPr>
        <w:t>Y</w:t>
      </w:r>
      <w:r w:rsidR="002F4FDF" w:rsidRPr="00DE30FC">
        <w:rPr>
          <w:rFonts w:ascii="David" w:hAnsi="David" w:cs="David"/>
          <w:sz w:val="24"/>
          <w:szCs w:val="24"/>
          <w:rtl/>
          <w:lang w:bidi="he-IL"/>
        </w:rPr>
        <w:t>: 704284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מנשה-אלונה: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גושים וחלקות: 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מוסדר: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גוש: 8713 חלקות במלואן: 13,11.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גוש: 8713 חלקי חלקות: 12,4.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גוש: 8760 חלקי חלקות: 99,3,2,1.</w:t>
      </w: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גוש: 8787 חלקי חלקות: 5.</w:t>
      </w:r>
    </w:p>
    <w:p w:rsidR="002F4FDF" w:rsidRPr="00DE30FC" w:rsidRDefault="002F4FDF" w:rsidP="002F4FDF">
      <w:pPr>
        <w:spacing w:line="24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2F4FDF" w:rsidRPr="00DE30FC" w:rsidRDefault="002F4FDF" w:rsidP="000A40E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rtl/>
          <w:lang w:bidi="he-IL"/>
        </w:rPr>
        <w:t>מטרת התכנית:</w:t>
      </w:r>
    </w:p>
    <w:p w:rsidR="002F4FDF" w:rsidRPr="00DE30FC" w:rsidRDefault="002F4FDF" w:rsidP="002700A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1. קביעת מסגרת תכנונית לתוספת שכונת מגורים חדשה בעיר בקה אל גרביה, עם יחידות דיור בבניה בצפיפות משתנה, לרבות</w:t>
      </w:r>
      <w:r w:rsidR="002700AB" w:rsidRPr="00DE30FC">
        <w:rPr>
          <w:rFonts w:ascii="David" w:hAnsi="David" w:cs="David"/>
          <w:sz w:val="24"/>
          <w:szCs w:val="24"/>
          <w:rtl/>
          <w:lang w:bidi="he-IL"/>
        </w:rPr>
        <w:t xml:space="preserve">                      </w:t>
      </w: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שירותי חינוך, מסחר, תעסוקה ושטחים פתוחים נלווים.</w:t>
      </w:r>
    </w:p>
    <w:p w:rsidR="007B3020" w:rsidRDefault="007B3020" w:rsidP="002700AB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2F4FDF" w:rsidRPr="00DE30FC" w:rsidRDefault="002F4FDF" w:rsidP="002700AB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DE30FC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עיקרי הוראות התכנית:</w:t>
      </w:r>
    </w:p>
    <w:p w:rsidR="002F4FDF" w:rsidRPr="00DE30FC" w:rsidRDefault="002F4FDF" w:rsidP="002700A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קביעת יעודי קרקע, שימושי קרקע, זכיות בניה, תנאים, הוראות </w:t>
      </w:r>
      <w:r w:rsidR="00A15383" w:rsidRPr="00DE30FC">
        <w:rPr>
          <w:rFonts w:ascii="David" w:hAnsi="David" w:cs="David"/>
          <w:sz w:val="24"/>
          <w:szCs w:val="24"/>
          <w:rtl/>
          <w:lang w:bidi="he-IL"/>
        </w:rPr>
        <w:t>והנחיות בתחום התכנית, כמפורט להלן:</w:t>
      </w:r>
    </w:p>
    <w:p w:rsidR="007B3020" w:rsidRDefault="00A15383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7B3020">
        <w:rPr>
          <w:rFonts w:ascii="David" w:hAnsi="David" w:cs="David"/>
          <w:sz w:val="24"/>
          <w:szCs w:val="24"/>
          <w:rtl/>
          <w:lang w:bidi="he-IL"/>
        </w:rPr>
        <w:t>שינוי יעודי הקרקע בתחום התכנית ליעודים הבאים: מגורים, מסחר ותעסוקה, מבנים ומסודות ציבור, יער, שטח ציבורי</w:t>
      </w:r>
      <w:r w:rsidR="002700AB" w:rsidRPr="007B3020">
        <w:rPr>
          <w:rFonts w:ascii="David" w:hAnsi="David" w:cs="David"/>
          <w:sz w:val="24"/>
          <w:szCs w:val="24"/>
          <w:rtl/>
          <w:lang w:bidi="he-IL"/>
        </w:rPr>
        <w:t xml:space="preserve">                                       </w:t>
      </w:r>
      <w:r w:rsidRPr="007B3020">
        <w:rPr>
          <w:rFonts w:ascii="David" w:hAnsi="David" w:cs="David"/>
          <w:sz w:val="24"/>
          <w:szCs w:val="24"/>
          <w:rtl/>
          <w:lang w:bidi="he-IL"/>
        </w:rPr>
        <w:t xml:space="preserve"> פתוח, שביל ודרך מאושרת/ מוצעת.</w:t>
      </w:r>
    </w:p>
    <w:p w:rsidR="007B3020" w:rsidRDefault="00A15383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7B3020">
        <w:rPr>
          <w:rFonts w:ascii="David" w:hAnsi="David" w:cs="David"/>
          <w:sz w:val="24"/>
          <w:szCs w:val="24"/>
          <w:rtl/>
          <w:lang w:bidi="he-IL"/>
        </w:rPr>
        <w:t>קביעת הורא</w:t>
      </w:r>
      <w:r w:rsidR="00EC415E" w:rsidRPr="007B3020">
        <w:rPr>
          <w:rFonts w:ascii="David" w:hAnsi="David" w:cs="David"/>
          <w:sz w:val="24"/>
          <w:szCs w:val="24"/>
          <w:rtl/>
          <w:lang w:bidi="he-IL"/>
        </w:rPr>
        <w:t>ות בניה ותנאים למתן היתרי בניה.</w:t>
      </w:r>
    </w:p>
    <w:p w:rsidR="007B3020" w:rsidRDefault="007B3020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EC415E" w:rsidRPr="00DE30FC">
        <w:rPr>
          <w:rFonts w:ascii="David" w:hAnsi="David" w:cs="David"/>
          <w:sz w:val="24"/>
          <w:szCs w:val="24"/>
          <w:rtl/>
          <w:lang w:bidi="he-IL"/>
        </w:rPr>
        <w:t>קביעת תאי שטח להקמת 1,111 יח"ד.</w:t>
      </w:r>
    </w:p>
    <w:p w:rsidR="007B3020" w:rsidRDefault="007B3020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EC415E" w:rsidRPr="00DE30FC">
        <w:rPr>
          <w:rFonts w:ascii="David" w:hAnsi="David" w:cs="David"/>
          <w:sz w:val="24"/>
          <w:szCs w:val="24"/>
          <w:rtl/>
          <w:lang w:bidi="he-IL"/>
        </w:rPr>
        <w:t>התווית מערכת דרכים חדשה.</w:t>
      </w:r>
    </w:p>
    <w:p w:rsidR="007B3020" w:rsidRDefault="007B3020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EC415E" w:rsidRPr="00DE30FC">
        <w:rPr>
          <w:rFonts w:ascii="David" w:hAnsi="David" w:cs="David"/>
          <w:sz w:val="24"/>
          <w:szCs w:val="24"/>
          <w:rtl/>
          <w:lang w:bidi="he-IL"/>
        </w:rPr>
        <w:t>קביעת הוראות בנוגע לתשתיות ביוב, מים וניקוז.</w:t>
      </w:r>
    </w:p>
    <w:p w:rsidR="007B3020" w:rsidRDefault="007B3020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EC415E" w:rsidRPr="00DE30FC">
        <w:rPr>
          <w:rFonts w:ascii="David" w:hAnsi="David" w:cs="David"/>
          <w:sz w:val="24"/>
          <w:szCs w:val="24"/>
          <w:rtl/>
          <w:lang w:bidi="he-IL"/>
        </w:rPr>
        <w:t xml:space="preserve">קביעת הנחיות לטיפוח ערכי הנוף, הסביבה והשטחים הפתוחים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בתחום</w:t>
      </w:r>
      <w:r w:rsidR="00EC415E" w:rsidRPr="00DE30FC">
        <w:rPr>
          <w:rFonts w:ascii="David" w:hAnsi="David" w:cs="David"/>
          <w:sz w:val="24"/>
          <w:szCs w:val="24"/>
          <w:rtl/>
          <w:lang w:bidi="he-IL"/>
        </w:rPr>
        <w:t xml:space="preserve"> התכנית.</w:t>
      </w:r>
    </w:p>
    <w:p w:rsidR="007B3020" w:rsidRDefault="00EC415E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קביעת הוראות לעיצוב אדריכלי.</w:t>
      </w:r>
    </w:p>
    <w:p w:rsidR="007B3020" w:rsidRDefault="007B3020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EC415E" w:rsidRPr="00DE30FC">
        <w:rPr>
          <w:rFonts w:ascii="David" w:hAnsi="David" w:cs="David"/>
          <w:sz w:val="24"/>
          <w:szCs w:val="24"/>
          <w:rtl/>
          <w:lang w:bidi="he-IL"/>
        </w:rPr>
        <w:t>קביעת הוראות לבניה ירוקה ויצרת תנאים לביצוע פעולות התורמות לשמירה על הסביבה, לחסכון וליעילות בשימוש במשאבים קיימים.</w:t>
      </w:r>
    </w:p>
    <w:p w:rsidR="007B3020" w:rsidRPr="007B3020" w:rsidRDefault="00577E3D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7B3020">
        <w:rPr>
          <w:rFonts w:ascii="David" w:hAnsi="David" w:cs="David"/>
          <w:sz w:val="24"/>
          <w:szCs w:val="24"/>
          <w:rtl/>
          <w:lang w:bidi="he-IL"/>
        </w:rPr>
        <w:t>קביעת הוראות לאיחוד וחלוקה בהסכמת בעלים.</w:t>
      </w:r>
    </w:p>
    <w:p w:rsidR="000A40EB" w:rsidRDefault="00577E3D" w:rsidP="007B3020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 קביעת הקלה לקו בנין מדרך מס' 574 מ- 135 מ' ל- 35 מ'.</w:t>
      </w:r>
    </w:p>
    <w:p w:rsidR="007B3020" w:rsidRPr="007B3020" w:rsidRDefault="007B3020" w:rsidP="007B3020">
      <w:pPr>
        <w:pStyle w:val="af9"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577E3D" w:rsidRPr="00DE30FC" w:rsidRDefault="00675EFA" w:rsidP="002700A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כל מעוניין ראשי לעיין בתכנית באתר מידע תכנוני של מינהל התכנון בכתובת </w:t>
      </w:r>
      <w:hyperlink r:id="rId8" w:history="1">
        <w:r w:rsidRPr="00DE30FC">
          <w:rPr>
            <w:rStyle w:val="Hyperlink"/>
            <w:rFonts w:ascii="David" w:hAnsi="David" w:cs="David"/>
            <w:sz w:val="24"/>
            <w:szCs w:val="24"/>
            <w:lang w:bidi="he-IL"/>
          </w:rPr>
          <w:t>https://mavat.iplan.gov.il</w:t>
        </w:r>
      </w:hyperlink>
      <w:r w:rsidRPr="00DE30FC">
        <w:rPr>
          <w:rFonts w:ascii="David" w:hAnsi="David" w:cs="David"/>
          <w:sz w:val="24"/>
          <w:szCs w:val="24"/>
          <w:rtl/>
          <w:lang w:bidi="he-IL"/>
        </w:rPr>
        <w:t>, במשרדי הוועדה המחוזית לתכנון ולבניה מחוז חיפה, שד הפלי"ם 15 חיפה 33095 טלפון: 074-7697275  ובמשרדי ו.</w:t>
      </w:r>
      <w:r w:rsidR="00051B4B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bookmarkStart w:id="0" w:name="_GoBack"/>
      <w:bookmarkEnd w:id="0"/>
      <w:r w:rsidRPr="00DE30FC">
        <w:rPr>
          <w:rFonts w:ascii="David" w:hAnsi="David" w:cs="David"/>
          <w:sz w:val="24"/>
          <w:szCs w:val="24"/>
          <w:rtl/>
          <w:lang w:bidi="he-IL"/>
        </w:rPr>
        <w:t>מקומית לתכנון ולבניה מנשה אלונה-ד.נ חפר 37845,  טלפון: 04-6177307</w:t>
      </w:r>
    </w:p>
    <w:p w:rsidR="00675EFA" w:rsidRPr="00DE30FC" w:rsidRDefault="00675EFA" w:rsidP="002700A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lastRenderedPageBreak/>
        <w:t>ועדה מקומית לתכנון ולבניה עירון, עארה ערערה 30025  טלפון: 04-6351789 בימים ובשעות שהמשרדים האמורים פתוחים לקהל.</w:t>
      </w:r>
    </w:p>
    <w:p w:rsidR="000A40EB" w:rsidRPr="00DE30FC" w:rsidRDefault="000A40EB" w:rsidP="002700A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675EFA" w:rsidRPr="00DE30FC" w:rsidRDefault="00675EFA" w:rsidP="00D30F6C">
      <w:pPr>
        <w:spacing w:after="0"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>כל מעוניין בקרקע הרואה את עצמו נפגע על ידי התכנית, רשאי להגיש התנגדות תוך חודשיים ימים מפרסום ההודעה המאוחרת מבין הפרסומים בעיתונים, לוועדה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DE30FC">
        <w:rPr>
          <w:rFonts w:ascii="David" w:hAnsi="David" w:cs="David"/>
          <w:sz w:val="24"/>
          <w:szCs w:val="24"/>
          <w:rtl/>
          <w:lang w:bidi="he-IL"/>
        </w:rPr>
        <w:t>המחוזית לתכנון ובנייה, עם העתק למשרדי הוועדה המקומית.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                                                                                                 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התנגדות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לוועדה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המחוזית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תוגש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באמצעות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טופס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הגשת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התנגדויות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באתר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מידע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תכנוני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של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מינהל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התכנון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בכתובת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       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A40EB" w:rsidRPr="00DE30FC">
        <w:rPr>
          <w:rFonts w:ascii="David" w:hAnsi="David" w:cs="David"/>
          <w:sz w:val="24"/>
          <w:szCs w:val="24"/>
          <w:u w:val="single"/>
          <w:lang w:bidi="he-IL"/>
        </w:rPr>
        <w:t>https://mavat.iplan.gov.il</w:t>
      </w:r>
      <w:r w:rsidR="000A40EB" w:rsidRPr="00DE30FC">
        <w:rPr>
          <w:rFonts w:ascii="David" w:hAnsi="David" w:cs="David"/>
          <w:sz w:val="24"/>
          <w:szCs w:val="24"/>
          <w:lang w:bidi="he-IL"/>
        </w:rPr>
        <w:t xml:space="preserve"> </w:t>
      </w:r>
      <w:r w:rsidR="000A40EB" w:rsidRPr="00DE30FC">
        <w:rPr>
          <w:rFonts w:ascii="David" w:hAnsi="David" w:cs="David"/>
          <w:sz w:val="24"/>
          <w:szCs w:val="24"/>
          <w:rtl/>
          <w:lang w:bidi="he-IL"/>
        </w:rPr>
        <w:t>, או בכתב למשרדי הוועדה.</w:t>
      </w:r>
    </w:p>
    <w:p w:rsidR="002700AB" w:rsidRPr="00DE30FC" w:rsidRDefault="002700AB" w:rsidP="00D30F6C">
      <w:pPr>
        <w:spacing w:after="0" w:line="240" w:lineRule="auto"/>
        <w:jc w:val="lowKashida"/>
        <w:rPr>
          <w:rFonts w:ascii="David" w:hAnsi="David" w:cs="David"/>
          <w:sz w:val="24"/>
          <w:szCs w:val="24"/>
          <w:rtl/>
          <w:lang w:bidi="he-IL"/>
        </w:rPr>
      </w:pPr>
      <w:r w:rsidRPr="00DE30FC">
        <w:rPr>
          <w:rFonts w:ascii="David" w:hAnsi="David" w:cs="David"/>
          <w:sz w:val="24"/>
          <w:szCs w:val="24"/>
          <w:rtl/>
          <w:lang w:bidi="he-IL"/>
        </w:rPr>
        <w:t xml:space="preserve">בהתאם לסעיף 103 (א) לחוק, התנגדות לתכנית לא תתקבל ולא תידון אלא אם כן הוגשה בכתב בפירוט הנמקות ובלווי תצהיר 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                        </w:t>
      </w:r>
      <w:r w:rsidRPr="00DE30FC">
        <w:rPr>
          <w:rFonts w:ascii="David" w:hAnsi="David" w:cs="David"/>
          <w:sz w:val="24"/>
          <w:szCs w:val="24"/>
          <w:rtl/>
          <w:lang w:bidi="he-IL"/>
        </w:rPr>
        <w:t>המאמת את העובדות שעליהן היא</w:t>
      </w:r>
      <w:r w:rsidR="00D30F6C" w:rsidRPr="00DE30FC">
        <w:rPr>
          <w:rFonts w:ascii="David" w:hAnsi="David" w:cs="David"/>
          <w:sz w:val="24"/>
          <w:szCs w:val="24"/>
          <w:rtl/>
          <w:lang w:bidi="he-IL"/>
        </w:rPr>
        <w:t xml:space="preserve"> מסתכמת ובהתאם לתקנות התכנון והבניה (סדרי נוהל בהתנגדות לתכנית סמכויות חוקר                                  וסדרי עבודתו), תשמ"ט- 1989</w:t>
      </w:r>
    </w:p>
    <w:p w:rsidR="00F703B6" w:rsidRPr="00DE30FC" w:rsidRDefault="00F703B6" w:rsidP="00D30F6C">
      <w:pPr>
        <w:spacing w:line="240" w:lineRule="auto"/>
        <w:jc w:val="lowKashida"/>
        <w:rPr>
          <w:rFonts w:ascii="David" w:hAnsi="David" w:cs="David"/>
          <w:sz w:val="24"/>
          <w:szCs w:val="24"/>
          <w:rtl/>
          <w:lang w:bidi="he-IL"/>
        </w:rPr>
      </w:pPr>
    </w:p>
    <w:p w:rsidR="00CB1EA5" w:rsidRPr="00DE30FC" w:rsidRDefault="00DE30FC" w:rsidP="00DE30FC">
      <w:pPr>
        <w:spacing w:line="240" w:lineRule="auto"/>
        <w:jc w:val="right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2314898" cy="1238423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A5" w:rsidRPr="00DE30FC" w:rsidSect="002D04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94" w:rsidRDefault="00AE6794" w:rsidP="00914999">
      <w:pPr>
        <w:spacing w:after="0" w:line="240" w:lineRule="auto"/>
      </w:pPr>
      <w:r>
        <w:separator/>
      </w:r>
    </w:p>
  </w:endnote>
  <w:endnote w:type="continuationSeparator" w:id="0">
    <w:p w:rsidR="00AE6794" w:rsidRDefault="00AE6794" w:rsidP="009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94" w:rsidRDefault="00AE6794" w:rsidP="00914999">
      <w:pPr>
        <w:spacing w:after="0" w:line="240" w:lineRule="auto"/>
      </w:pPr>
      <w:r>
        <w:separator/>
      </w:r>
    </w:p>
  </w:footnote>
  <w:footnote w:type="continuationSeparator" w:id="0">
    <w:p w:rsidR="00AE6794" w:rsidRDefault="00AE6794" w:rsidP="0091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7541"/>
    <w:multiLevelType w:val="hybridMultilevel"/>
    <w:tmpl w:val="09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99"/>
    <w:rsid w:val="00051B4B"/>
    <w:rsid w:val="000A40EB"/>
    <w:rsid w:val="002673D1"/>
    <w:rsid w:val="002700AB"/>
    <w:rsid w:val="002D04A2"/>
    <w:rsid w:val="002F18AF"/>
    <w:rsid w:val="002F4FDF"/>
    <w:rsid w:val="00577E3D"/>
    <w:rsid w:val="00675EFA"/>
    <w:rsid w:val="007225D1"/>
    <w:rsid w:val="007B3020"/>
    <w:rsid w:val="00914999"/>
    <w:rsid w:val="009A5139"/>
    <w:rsid w:val="00A15383"/>
    <w:rsid w:val="00AE6794"/>
    <w:rsid w:val="00CB1EA5"/>
    <w:rsid w:val="00D30F6C"/>
    <w:rsid w:val="00DE30FC"/>
    <w:rsid w:val="00EC415E"/>
    <w:rsid w:val="00F703B6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9C7F-CF5B-491C-8853-28875EB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AF"/>
  </w:style>
  <w:style w:type="paragraph" w:styleId="1">
    <w:name w:val="heading 1"/>
    <w:basedOn w:val="a"/>
    <w:next w:val="a"/>
    <w:link w:val="10"/>
    <w:uiPriority w:val="9"/>
    <w:qFormat/>
    <w:rsid w:val="002F18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8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8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8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4999"/>
  </w:style>
  <w:style w:type="paragraph" w:styleId="a5">
    <w:name w:val="footer"/>
    <w:basedOn w:val="a"/>
    <w:link w:val="a6"/>
    <w:uiPriority w:val="99"/>
    <w:unhideWhenUsed/>
    <w:rsid w:val="00914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4999"/>
  </w:style>
  <w:style w:type="character" w:customStyle="1" w:styleId="10">
    <w:name w:val="כותרת 1 תו"/>
    <w:basedOn w:val="a0"/>
    <w:link w:val="1"/>
    <w:uiPriority w:val="9"/>
    <w:rsid w:val="002F1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F18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F18A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2F18A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2F18A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2F18A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2F18A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2F18A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כותרת 9 תו"/>
    <w:basedOn w:val="a0"/>
    <w:link w:val="9"/>
    <w:uiPriority w:val="9"/>
    <w:semiHidden/>
    <w:rsid w:val="002F18A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2F18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2F18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9">
    <w:name w:val="כותרת טקסט תו"/>
    <w:basedOn w:val="a0"/>
    <w:link w:val="a8"/>
    <w:uiPriority w:val="10"/>
    <w:rsid w:val="002F18A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2F18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כותרת משנה תו"/>
    <w:basedOn w:val="a0"/>
    <w:link w:val="aa"/>
    <w:uiPriority w:val="11"/>
    <w:rsid w:val="002F18AF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2F18AF"/>
    <w:rPr>
      <w:b/>
      <w:bCs/>
    </w:rPr>
  </w:style>
  <w:style w:type="character" w:styleId="ad">
    <w:name w:val="Emphasis"/>
    <w:basedOn w:val="a0"/>
    <w:uiPriority w:val="20"/>
    <w:qFormat/>
    <w:rsid w:val="002F18AF"/>
    <w:rPr>
      <w:i/>
      <w:iCs/>
    </w:rPr>
  </w:style>
  <w:style w:type="paragraph" w:styleId="ae">
    <w:name w:val="No Spacing"/>
    <w:uiPriority w:val="1"/>
    <w:qFormat/>
    <w:rsid w:val="002F18AF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2F18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ציטוט תו"/>
    <w:basedOn w:val="a0"/>
    <w:link w:val="af"/>
    <w:uiPriority w:val="29"/>
    <w:rsid w:val="002F18AF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2F18A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2">
    <w:name w:val="ציטוט חזק תו"/>
    <w:basedOn w:val="a0"/>
    <w:link w:val="af1"/>
    <w:uiPriority w:val="30"/>
    <w:rsid w:val="002F18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2F18AF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2F18AF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2F18AF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2F18AF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2F18AF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2F18AF"/>
    <w:pPr>
      <w:outlineLvl w:val="9"/>
    </w:pPr>
  </w:style>
  <w:style w:type="paragraph" w:styleId="af9">
    <w:name w:val="List Paragraph"/>
    <w:basedOn w:val="a"/>
    <w:uiPriority w:val="34"/>
    <w:qFormat/>
    <w:rsid w:val="002F4FD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5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vat.iplan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9B7B-535A-40D3-80E0-662556C1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דוחא אבו סעייד</dc:creator>
  <cp:keywords/>
  <dc:description/>
  <cp:lastModifiedBy>מזכירת ראש העיר</cp:lastModifiedBy>
  <cp:revision>9</cp:revision>
  <dcterms:created xsi:type="dcterms:W3CDTF">2023-12-03T14:35:00Z</dcterms:created>
  <dcterms:modified xsi:type="dcterms:W3CDTF">2023-12-04T09:41:00Z</dcterms:modified>
</cp:coreProperties>
</file>