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B4" w:rsidRPr="006F4CFA" w:rsidRDefault="004D2134" w:rsidP="006F4CFA">
      <w:pPr>
        <w:pStyle w:val="1"/>
        <w:spacing w:before="600"/>
        <w:rPr>
          <w:rtl/>
        </w:rPr>
      </w:pPr>
      <w:r w:rsidRPr="006F4CFA">
        <w:rPr>
          <w:rFonts w:hint="cs"/>
          <w:rtl/>
        </w:rPr>
        <w:t>פרוטוקול ישיבת ועדת התקשרויות</w:t>
      </w:r>
    </w:p>
    <w:p w:rsidR="004D2134" w:rsidRPr="004D2134" w:rsidRDefault="004D2134" w:rsidP="001F55F3">
      <w:pPr>
        <w:spacing w:after="0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(לפי חוזר מנכ"ל 8/2016, על תיקוניו</w:t>
      </w:r>
      <w:r w:rsidR="00FF515E">
        <w:rPr>
          <w:rFonts w:cs="David" w:hint="cs"/>
          <w:b/>
          <w:bCs/>
          <w:sz w:val="36"/>
          <w:szCs w:val="36"/>
          <w:u w:val="single"/>
          <w:rtl/>
        </w:rPr>
        <w:t>)</w:t>
      </w:r>
    </w:p>
    <w:p w:rsidR="00D01169" w:rsidRDefault="00D01169" w:rsidP="004042B4">
      <w:pPr>
        <w:spacing w:after="0"/>
        <w:jc w:val="center"/>
        <w:rPr>
          <w:rFonts w:cs="David"/>
          <w:sz w:val="28"/>
          <w:szCs w:val="28"/>
          <w:rtl/>
        </w:rPr>
      </w:pPr>
    </w:p>
    <w:p w:rsidR="004042B4" w:rsidRDefault="004D2134" w:rsidP="00FD4935">
      <w:pPr>
        <w:spacing w:after="0"/>
        <w:jc w:val="both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>ועדת ההתקשרויות המקצועית בהרכבה לפי חוזר מנכ"ל משרד הפנים 8/2016 (ותיקון בחוזר מנכ"ל משרד הפנים 5/2017) התכנסה באולם הישיבות של העיריה לישיבה מס' 1/2018, בתאריך 22.1.2018, יום שני, בשעה 14:30:</w:t>
      </w:r>
    </w:p>
    <w:p w:rsidR="004042B4" w:rsidRDefault="004042B4" w:rsidP="004042B4">
      <w:pPr>
        <w:spacing w:after="0"/>
        <w:jc w:val="both"/>
        <w:rPr>
          <w:rFonts w:cs="David"/>
          <w:sz w:val="24"/>
          <w:szCs w:val="24"/>
          <w:rtl/>
        </w:rPr>
      </w:pPr>
    </w:p>
    <w:p w:rsidR="004042B4" w:rsidRPr="006F4CFA" w:rsidRDefault="004D2134" w:rsidP="006F4CFA">
      <w:pPr>
        <w:pStyle w:val="2"/>
        <w:rPr>
          <w:rtl/>
        </w:rPr>
      </w:pPr>
      <w:r w:rsidRPr="006F4CFA">
        <w:rPr>
          <w:rFonts w:hint="cs"/>
          <w:rtl/>
        </w:rPr>
        <w:t>משתתפים חברי הוועדה:</w:t>
      </w:r>
    </w:p>
    <w:p w:rsidR="004042B4" w:rsidRDefault="004D2134" w:rsidP="004042B4">
      <w:pPr>
        <w:pStyle w:val="a9"/>
        <w:numPr>
          <w:ilvl w:val="0"/>
          <w:numId w:val="1"/>
        </w:numPr>
        <w:spacing w:after="0"/>
        <w:ind w:left="38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מוחמד אבו-פרחי, מנכ"ל העיריה, יו"ר הוועדה.</w:t>
      </w:r>
    </w:p>
    <w:p w:rsidR="004D2134" w:rsidRDefault="004D2134" w:rsidP="004042B4">
      <w:pPr>
        <w:pStyle w:val="a9"/>
        <w:numPr>
          <w:ilvl w:val="0"/>
          <w:numId w:val="1"/>
        </w:numPr>
        <w:spacing w:after="0"/>
        <w:ind w:left="38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רו"ח </w:t>
      </w:r>
      <w:proofErr w:type="spellStart"/>
      <w:r>
        <w:rPr>
          <w:rFonts w:cs="David" w:hint="cs"/>
          <w:sz w:val="24"/>
          <w:szCs w:val="24"/>
          <w:rtl/>
        </w:rPr>
        <w:t>מג'די</w:t>
      </w:r>
      <w:proofErr w:type="spellEnd"/>
      <w:r>
        <w:rPr>
          <w:rFonts w:cs="David" w:hint="cs"/>
          <w:sz w:val="24"/>
          <w:szCs w:val="24"/>
          <w:rtl/>
        </w:rPr>
        <w:t xml:space="preserve"> אבו-מוך, גזבר העיריה.</w:t>
      </w:r>
    </w:p>
    <w:p w:rsidR="004D2134" w:rsidRDefault="004D2134" w:rsidP="004042B4">
      <w:pPr>
        <w:pStyle w:val="a9"/>
        <w:numPr>
          <w:ilvl w:val="0"/>
          <w:numId w:val="1"/>
        </w:numPr>
        <w:spacing w:after="0"/>
        <w:ind w:left="386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עו"ד חוסאם אבו-פול, היועץ המשפטי </w:t>
      </w:r>
      <w:proofErr w:type="spellStart"/>
      <w:r>
        <w:rPr>
          <w:rFonts w:cs="David" w:hint="cs"/>
          <w:sz w:val="24"/>
          <w:szCs w:val="24"/>
          <w:rtl/>
        </w:rPr>
        <w:t>לעיריה</w:t>
      </w:r>
      <w:proofErr w:type="spellEnd"/>
      <w:r>
        <w:rPr>
          <w:rFonts w:cs="David" w:hint="cs"/>
          <w:sz w:val="24"/>
          <w:szCs w:val="24"/>
          <w:rtl/>
        </w:rPr>
        <w:t>.</w:t>
      </w:r>
    </w:p>
    <w:p w:rsidR="000513CF" w:rsidRDefault="000513CF" w:rsidP="000513CF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042B4" w:rsidRDefault="004042B4" w:rsidP="006F4CFA">
      <w:pPr>
        <w:pStyle w:val="2"/>
        <w:rPr>
          <w:rtl/>
        </w:rPr>
      </w:pPr>
      <w:r>
        <w:rPr>
          <w:rFonts w:hint="cs"/>
          <w:rtl/>
        </w:rPr>
        <w:t>על סדר יום הישיבה:</w:t>
      </w:r>
    </w:p>
    <w:p w:rsidR="001F55F3" w:rsidRDefault="004D2134" w:rsidP="005A037A">
      <w:pPr>
        <w:pStyle w:val="a9"/>
        <w:numPr>
          <w:ilvl w:val="0"/>
          <w:numId w:val="29"/>
        </w:numPr>
        <w:spacing w:after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דיון בהצעות שהוגשו להצטרף לרשימת היועצים עפ"י החוזר.</w:t>
      </w:r>
    </w:p>
    <w:p w:rsidR="004D2134" w:rsidRDefault="004D2134" w:rsidP="005A037A">
      <w:pPr>
        <w:pStyle w:val="a9"/>
        <w:numPr>
          <w:ilvl w:val="0"/>
          <w:numId w:val="29"/>
        </w:numPr>
        <w:spacing w:after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דיון בתיקון דרישות הסף להצטרפות יועצים לרשימת היועצים עפ"י החוזר.</w:t>
      </w:r>
    </w:p>
    <w:p w:rsidR="004D2134" w:rsidRDefault="004D2134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D2134" w:rsidRDefault="004D2134" w:rsidP="006F4CFA">
      <w:pPr>
        <w:pStyle w:val="2"/>
        <w:rPr>
          <w:rtl/>
        </w:rPr>
      </w:pPr>
      <w:r>
        <w:rPr>
          <w:rFonts w:hint="cs"/>
          <w:rtl/>
        </w:rPr>
        <w:t>דיון והחלטות:</w:t>
      </w:r>
    </w:p>
    <w:p w:rsidR="004D2134" w:rsidRDefault="004D2134" w:rsidP="004D2134">
      <w:pPr>
        <w:spacing w:after="0"/>
        <w:ind w:left="26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FF515E" w:rsidRPr="006F4CFA" w:rsidRDefault="00FF515E" w:rsidP="006F4CFA">
      <w:pPr>
        <w:pStyle w:val="3"/>
      </w:pPr>
      <w:r w:rsidRPr="006F4CFA">
        <w:rPr>
          <w:rFonts w:hint="cs"/>
          <w:rtl/>
        </w:rPr>
        <w:t>סעיף 1: דיון בהצעות שהוגשו להצטרף לרשימת היועצים עפ"י החוזר:</w:t>
      </w:r>
    </w:p>
    <w:p w:rsidR="00FF515E" w:rsidRDefault="00FF515E" w:rsidP="00FF515E">
      <w:pPr>
        <w:pStyle w:val="a9"/>
        <w:spacing w:after="0"/>
        <w:ind w:left="95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FF515E" w:rsidRDefault="00FF515E" w:rsidP="002705B3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  <w:r w:rsidRPr="003A41D7">
        <w:rPr>
          <w:rFonts w:cs="David" w:hint="cs"/>
          <w:sz w:val="24"/>
          <w:szCs w:val="24"/>
          <w:rtl/>
        </w:rPr>
        <w:t>הוועדה</w:t>
      </w:r>
      <w:r>
        <w:rPr>
          <w:rFonts w:cs="David" w:hint="cs"/>
          <w:sz w:val="24"/>
          <w:szCs w:val="24"/>
          <w:rtl/>
        </w:rPr>
        <w:t xml:space="preserve"> דנה בבקשות שהוגשו</w:t>
      </w:r>
      <w:r w:rsidR="002705B3">
        <w:rPr>
          <w:rFonts w:cs="David" w:hint="cs"/>
          <w:sz w:val="24"/>
          <w:szCs w:val="24"/>
          <w:rtl/>
        </w:rPr>
        <w:t xml:space="preserve"> ובהמלצות שהונחו בפניה </w:t>
      </w:r>
      <w:r>
        <w:rPr>
          <w:rFonts w:cs="David" w:hint="cs"/>
          <w:sz w:val="24"/>
          <w:szCs w:val="24"/>
          <w:rtl/>
        </w:rPr>
        <w:t>והחליטה כדלקמן:</w:t>
      </w:r>
      <w:r w:rsidRPr="003A41D7">
        <w:rPr>
          <w:rFonts w:cs="David" w:hint="cs"/>
          <w:sz w:val="24"/>
          <w:szCs w:val="24"/>
          <w:rtl/>
        </w:rPr>
        <w:t xml:space="preserve"> </w:t>
      </w:r>
    </w:p>
    <w:p w:rsidR="001261FD" w:rsidRDefault="001261FD" w:rsidP="001261FD">
      <w:pPr>
        <w:pStyle w:val="a9"/>
        <w:numPr>
          <w:ilvl w:val="0"/>
          <w:numId w:val="37"/>
        </w:numPr>
        <w:spacing w:after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הוועדה החליטה לאשר בקשות היועצים כמפורט ברשימה </w:t>
      </w:r>
      <w:proofErr w:type="spellStart"/>
      <w:r>
        <w:rPr>
          <w:rFonts w:cs="David" w:hint="cs"/>
          <w:b/>
          <w:bCs/>
          <w:sz w:val="24"/>
          <w:szCs w:val="24"/>
          <w:u w:val="single"/>
          <w:rtl/>
        </w:rPr>
        <w:t>המצ"ב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מסומנת א'</w:t>
      </w:r>
      <w:r w:rsidR="002705B3">
        <w:rPr>
          <w:rFonts w:cs="David" w:hint="cs"/>
          <w:sz w:val="24"/>
          <w:szCs w:val="24"/>
          <w:rtl/>
        </w:rPr>
        <w:t xml:space="preserve">, להצטרף למאגר היועצים </w:t>
      </w:r>
      <w:proofErr w:type="spellStart"/>
      <w:r w:rsidR="002705B3">
        <w:rPr>
          <w:rFonts w:cs="David" w:hint="cs"/>
          <w:sz w:val="24"/>
          <w:szCs w:val="24"/>
          <w:rtl/>
        </w:rPr>
        <w:t>בעיריה</w:t>
      </w:r>
      <w:proofErr w:type="spellEnd"/>
      <w:r w:rsidR="002705B3">
        <w:rPr>
          <w:rFonts w:cs="David" w:hint="cs"/>
          <w:sz w:val="24"/>
          <w:szCs w:val="24"/>
          <w:rtl/>
        </w:rPr>
        <w:t>, בתחומים המפורטים ברשימה.</w:t>
      </w:r>
    </w:p>
    <w:p w:rsidR="001261FD" w:rsidRPr="003A41D7" w:rsidRDefault="001261FD" w:rsidP="001261FD">
      <w:pPr>
        <w:pStyle w:val="a9"/>
        <w:numPr>
          <w:ilvl w:val="0"/>
          <w:numId w:val="37"/>
        </w:numPr>
        <w:spacing w:after="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הוועדה החליטה לדחות בקשות היועצים כמפורט ברשימה </w:t>
      </w:r>
      <w:proofErr w:type="spellStart"/>
      <w:r>
        <w:rPr>
          <w:rFonts w:cs="David" w:hint="cs"/>
          <w:b/>
          <w:bCs/>
          <w:sz w:val="24"/>
          <w:szCs w:val="24"/>
          <w:u w:val="single"/>
          <w:rtl/>
        </w:rPr>
        <w:t>המצ"ב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מסומנת ב'</w:t>
      </w:r>
      <w:r>
        <w:rPr>
          <w:rFonts w:cs="David" w:hint="cs"/>
          <w:sz w:val="24"/>
          <w:szCs w:val="24"/>
          <w:rtl/>
        </w:rPr>
        <w:t>.</w:t>
      </w:r>
    </w:p>
    <w:p w:rsidR="00FF515E" w:rsidRPr="005E4342" w:rsidRDefault="00FF515E" w:rsidP="00FF515E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4D2134" w:rsidRPr="004D2134" w:rsidRDefault="004D2134" w:rsidP="006F4CFA">
      <w:pPr>
        <w:pStyle w:val="3"/>
      </w:pPr>
      <w:r w:rsidRPr="004D2134">
        <w:rPr>
          <w:rFonts w:hint="cs"/>
          <w:rtl/>
        </w:rPr>
        <w:t>סעיף 2: דיון בתיקון דרישות הסף להצטרפות יועצים לרשימת היועצים עפ"י החוזר</w:t>
      </w:r>
      <w:r>
        <w:rPr>
          <w:rFonts w:hint="cs"/>
          <w:rtl/>
        </w:rPr>
        <w:t>:</w:t>
      </w:r>
    </w:p>
    <w:p w:rsidR="004D2134" w:rsidRDefault="004D2134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D2134" w:rsidRDefault="004D2134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 ההתקשרויות רואה בעין מודאגת רשימת היועצים הדלה שמתגבשת. הוועדה סבורה כי ראוי ונכון לתקן את תנאי הסף בכל הקשור ליועצים שאינם בתחום היועצים המשפטיים / עו"</w:t>
      </w:r>
      <w:r w:rsidR="001261FD">
        <w:rPr>
          <w:rFonts w:cs="David" w:hint="cs"/>
          <w:sz w:val="24"/>
          <w:szCs w:val="24"/>
          <w:rtl/>
        </w:rPr>
        <w:t>ד (בשלב זה).</w:t>
      </w:r>
    </w:p>
    <w:p w:rsidR="001261FD" w:rsidRDefault="001261FD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1261FD" w:rsidRDefault="001261FD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רשימת היועצים ה</w:t>
      </w:r>
      <w:r w:rsidR="002705B3">
        <w:rPr>
          <w:rFonts w:cs="David" w:hint="cs"/>
          <w:sz w:val="24"/>
          <w:szCs w:val="24"/>
          <w:rtl/>
        </w:rPr>
        <w:t>מ</w:t>
      </w:r>
      <w:r>
        <w:rPr>
          <w:rFonts w:cs="David" w:hint="cs"/>
          <w:sz w:val="24"/>
          <w:szCs w:val="24"/>
          <w:rtl/>
        </w:rPr>
        <w:t>תגבשת אינה מספקת את צורכי העיריה ועלולה להביא לפגיעה בעבודה השוטפת והתקינה של העיריה ולעיכובים מיותרים.</w:t>
      </w:r>
    </w:p>
    <w:p w:rsidR="004D2134" w:rsidRDefault="004D2134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D2134" w:rsidRDefault="004D2134" w:rsidP="00FF515E">
      <w:pPr>
        <w:spacing w:after="0"/>
        <w:ind w:left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ועדת המכרזים עיינה בתנאי הסף כפי שאלו גובשו וב</w:t>
      </w:r>
      <w:r w:rsidR="00FF515E">
        <w:rPr>
          <w:rFonts w:cs="David" w:hint="cs"/>
          <w:sz w:val="24"/>
          <w:szCs w:val="24"/>
          <w:rtl/>
        </w:rPr>
        <w:t>פרסום בעבר ולאחר דיון והתייעצות, הוועדה מ</w:t>
      </w:r>
      <w:r>
        <w:rPr>
          <w:rFonts w:cs="David" w:hint="cs"/>
          <w:sz w:val="24"/>
          <w:szCs w:val="24"/>
          <w:rtl/>
        </w:rPr>
        <w:t xml:space="preserve">חליטה לתקן את הדרישה בסעיף 3.4, </w:t>
      </w:r>
      <w:r w:rsidR="001261FD">
        <w:rPr>
          <w:rFonts w:cs="David" w:hint="cs"/>
          <w:sz w:val="24"/>
          <w:szCs w:val="24"/>
          <w:rtl/>
        </w:rPr>
        <w:t xml:space="preserve">בעמ' 5, לתנאי הסף, </w:t>
      </w:r>
      <w:r w:rsidR="00FF515E">
        <w:rPr>
          <w:rFonts w:cs="David" w:hint="cs"/>
          <w:sz w:val="24"/>
          <w:szCs w:val="24"/>
          <w:rtl/>
        </w:rPr>
        <w:t>וכפועל</w:t>
      </w:r>
      <w:r>
        <w:rPr>
          <w:rFonts w:cs="David" w:hint="cs"/>
          <w:sz w:val="24"/>
          <w:szCs w:val="24"/>
          <w:rtl/>
        </w:rPr>
        <w:t xml:space="preserve"> יוצ</w:t>
      </w:r>
      <w:r w:rsidR="00FF515E">
        <w:rPr>
          <w:rFonts w:cs="David" w:hint="cs"/>
          <w:sz w:val="24"/>
          <w:szCs w:val="24"/>
          <w:rtl/>
        </w:rPr>
        <w:t>א</w:t>
      </w:r>
      <w:r w:rsidR="001261FD">
        <w:rPr>
          <w:rFonts w:cs="David" w:hint="cs"/>
          <w:sz w:val="24"/>
          <w:szCs w:val="24"/>
          <w:rtl/>
        </w:rPr>
        <w:t xml:space="preserve"> -</w:t>
      </w:r>
      <w:r>
        <w:rPr>
          <w:rFonts w:cs="David" w:hint="cs"/>
          <w:sz w:val="24"/>
          <w:szCs w:val="24"/>
          <w:rtl/>
        </w:rPr>
        <w:t xml:space="preserve"> להכניס תיקון מתבקש בסעיף 3.5, בעמ' 5, לתנאי הסף. </w:t>
      </w:r>
    </w:p>
    <w:p w:rsidR="004D2134" w:rsidRDefault="004D2134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D2134" w:rsidRDefault="004D2134" w:rsidP="00FF515E">
      <w:pPr>
        <w:spacing w:after="0"/>
        <w:ind w:left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הוועדה סבורה כי תנאי הסף הקיים מצמצ</w:t>
      </w:r>
      <w:r w:rsidR="00FF515E">
        <w:rPr>
          <w:rFonts w:cs="David" w:hint="cs"/>
          <w:sz w:val="24"/>
          <w:szCs w:val="24"/>
          <w:rtl/>
        </w:rPr>
        <w:t>מי</w:t>
      </w:r>
      <w:r>
        <w:rPr>
          <w:rFonts w:cs="David" w:hint="cs"/>
          <w:sz w:val="24"/>
          <w:szCs w:val="24"/>
          <w:rtl/>
        </w:rPr>
        <w:t>ם באופן ניכר את קשת המציעים הפוטנציאליים ואף מוציא</w:t>
      </w:r>
      <w:r w:rsidR="00FF515E">
        <w:rPr>
          <w:rFonts w:cs="David" w:hint="cs"/>
          <w:sz w:val="24"/>
          <w:szCs w:val="24"/>
          <w:rtl/>
        </w:rPr>
        <w:t>ים</w:t>
      </w:r>
      <w:r>
        <w:rPr>
          <w:rFonts w:cs="David" w:hint="cs"/>
          <w:sz w:val="24"/>
          <w:szCs w:val="24"/>
          <w:rtl/>
        </w:rPr>
        <w:t xml:space="preserve"> באופן לא מוצדק יועצים שביצעו עבודות עבור גופים גדולים, כמו גופים ממשלתיים, וכן מוציא</w:t>
      </w:r>
      <w:r w:rsidR="00FF515E">
        <w:rPr>
          <w:rFonts w:cs="David" w:hint="cs"/>
          <w:sz w:val="24"/>
          <w:szCs w:val="24"/>
          <w:rtl/>
        </w:rPr>
        <w:t>ים</w:t>
      </w:r>
      <w:r>
        <w:rPr>
          <w:rFonts w:cs="David" w:hint="cs"/>
          <w:sz w:val="24"/>
          <w:szCs w:val="24"/>
          <w:rtl/>
        </w:rPr>
        <w:t xml:space="preserve"> לחלוטין מכלל חשבון יועצים שלא עסקו בעבר </w:t>
      </w:r>
      <w:r w:rsidR="00FF515E">
        <w:rPr>
          <w:rFonts w:cs="David" w:hint="cs"/>
          <w:sz w:val="24"/>
          <w:szCs w:val="24"/>
          <w:rtl/>
        </w:rPr>
        <w:t xml:space="preserve">עם רשויות מקומיות. הוועדה סבירה שמצב זה אינו ראוי כאשר גם </w:t>
      </w:r>
      <w:r>
        <w:rPr>
          <w:rFonts w:cs="David" w:hint="cs"/>
          <w:sz w:val="24"/>
          <w:szCs w:val="24"/>
          <w:rtl/>
        </w:rPr>
        <w:t xml:space="preserve">אם הכוונה להבטיח רמת ניסיון ומקצועיות </w:t>
      </w:r>
      <w:proofErr w:type="spellStart"/>
      <w:r>
        <w:rPr>
          <w:rFonts w:cs="David" w:hint="cs"/>
          <w:sz w:val="24"/>
          <w:szCs w:val="24"/>
          <w:rtl/>
        </w:rPr>
        <w:t>מסויימת</w:t>
      </w:r>
      <w:proofErr w:type="spellEnd"/>
      <w:r>
        <w:rPr>
          <w:rFonts w:cs="David" w:hint="cs"/>
          <w:sz w:val="24"/>
          <w:szCs w:val="24"/>
          <w:rtl/>
        </w:rPr>
        <w:t>, הרי הפגיעה כאן עולה על התועלת</w:t>
      </w:r>
      <w:r w:rsidR="00FF515E">
        <w:rPr>
          <w:rFonts w:cs="David" w:hint="cs"/>
          <w:sz w:val="24"/>
          <w:szCs w:val="24"/>
          <w:rtl/>
        </w:rPr>
        <w:t xml:space="preserve"> במיוחד כאשר המדובר בחוזר מנכ"ל חדש אשר העיריה (ורשויות מקומיות אחרים טרם התנסו בו. ככל שבעתיד יהא צריך, הוועדה תשקול את הדברים מחדש.</w:t>
      </w:r>
    </w:p>
    <w:p w:rsidR="004D2134" w:rsidRDefault="004D2134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D2134" w:rsidRDefault="004D2134" w:rsidP="006F4CFA">
      <w:pPr>
        <w:pStyle w:val="3"/>
        <w:rPr>
          <w:rtl/>
        </w:rPr>
      </w:pPr>
      <w:r>
        <w:rPr>
          <w:rFonts w:hint="cs"/>
          <w:rtl/>
        </w:rPr>
        <w:t>סעיף 3.4 קיים:</w:t>
      </w:r>
    </w:p>
    <w:p w:rsidR="004D2134" w:rsidRDefault="004D2134" w:rsidP="005E4342">
      <w:pPr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"3.4 העניק במהלך שלוש השנים קודם להגשת מועמדותו, שירותים בתחום הרלוונטי ברשימת המשנה </w:t>
      </w:r>
      <w:r>
        <w:rPr>
          <w:rFonts w:cs="David" w:hint="cs"/>
          <w:sz w:val="24"/>
          <w:szCs w:val="24"/>
          <w:u w:val="single"/>
          <w:rtl/>
        </w:rPr>
        <w:t>ל- 2</w:t>
      </w:r>
      <w:r>
        <w:rPr>
          <w:rFonts w:cs="David" w:hint="cs"/>
          <w:sz w:val="24"/>
          <w:szCs w:val="24"/>
          <w:rtl/>
        </w:rPr>
        <w:t xml:space="preserve"> רשויות מקומיות לפחות.</w:t>
      </w:r>
    </w:p>
    <w:p w:rsidR="006F4CFA" w:rsidRDefault="004D2134" w:rsidP="006F4CFA">
      <w:pPr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להוכחת עמידתו בתנאי סף זה יפרט המשתתף על </w:t>
      </w:r>
      <w:proofErr w:type="spellStart"/>
      <w:r>
        <w:rPr>
          <w:rFonts w:cs="David" w:hint="cs"/>
          <w:sz w:val="24"/>
          <w:szCs w:val="24"/>
          <w:rtl/>
        </w:rPr>
        <w:t>נסיונו</w:t>
      </w:r>
      <w:proofErr w:type="spellEnd"/>
      <w:r>
        <w:rPr>
          <w:rFonts w:cs="David" w:hint="cs"/>
          <w:sz w:val="24"/>
          <w:szCs w:val="24"/>
          <w:rtl/>
        </w:rPr>
        <w:t xml:space="preserve"> כאמור במסגרת הבקשה למאגר וימלא את כלל הפרטים המפורטים שם".</w:t>
      </w:r>
    </w:p>
    <w:p w:rsidR="006F4CFA" w:rsidRDefault="006F4CFA" w:rsidP="006F4CFA">
      <w:pPr>
        <w:spacing w:after="0"/>
        <w:ind w:left="28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:rsidR="006F4CFA" w:rsidRDefault="006F4CFA" w:rsidP="006F4CFA">
      <w:pPr>
        <w:spacing w:after="360"/>
        <w:ind w:left="28"/>
        <w:jc w:val="both"/>
        <w:rPr>
          <w:rFonts w:cs="David"/>
          <w:sz w:val="24"/>
          <w:szCs w:val="24"/>
          <w:rtl/>
        </w:rPr>
      </w:pPr>
    </w:p>
    <w:p w:rsidR="004D2134" w:rsidRDefault="004D2134" w:rsidP="006F4CFA">
      <w:pPr>
        <w:spacing w:after="0"/>
        <w:ind w:left="2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הוועדה החליטה לתקן נוסח סעיף 3.4 הקיים, בנוסח הבא: </w:t>
      </w:r>
    </w:p>
    <w:p w:rsidR="00FF515E" w:rsidRDefault="00FF515E" w:rsidP="004D2134">
      <w:pPr>
        <w:spacing w:after="0"/>
        <w:ind w:left="26"/>
        <w:jc w:val="both"/>
        <w:rPr>
          <w:rFonts w:cs="David"/>
          <w:sz w:val="24"/>
          <w:szCs w:val="24"/>
          <w:rtl/>
        </w:rPr>
      </w:pPr>
    </w:p>
    <w:p w:rsidR="004D2134" w:rsidRDefault="004D2134" w:rsidP="006F4CFA">
      <w:pPr>
        <w:pStyle w:val="3"/>
        <w:rPr>
          <w:rtl/>
        </w:rPr>
      </w:pPr>
      <w:r>
        <w:rPr>
          <w:rFonts w:hint="cs"/>
          <w:rtl/>
        </w:rPr>
        <w:t>סעיף 3.4, החדש/המתוקן:</w:t>
      </w:r>
    </w:p>
    <w:p w:rsidR="004D2134" w:rsidRDefault="005E4342" w:rsidP="005E4342">
      <w:pPr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"העניק במהלך שלוש השנים קודם להגשת מועמדותו, שירותים בענף ובתחום הרלוונטי בו הוא מבקש להיכלל, </w:t>
      </w:r>
      <w:r w:rsidRPr="004F3D7D">
        <w:rPr>
          <w:rFonts w:cs="David" w:hint="cs"/>
          <w:sz w:val="24"/>
          <w:szCs w:val="24"/>
          <w:rtl/>
        </w:rPr>
        <w:t>ל- 2</w:t>
      </w:r>
      <w:r w:rsidR="00FF515E">
        <w:rPr>
          <w:rFonts w:cs="David" w:hint="cs"/>
          <w:sz w:val="24"/>
          <w:szCs w:val="24"/>
          <w:rtl/>
        </w:rPr>
        <w:t xml:space="preserve"> לקוחות מוסדיים לפחות ו/או עם ותק של 10 שנים בתחום הספציפי.</w:t>
      </w:r>
    </w:p>
    <w:p w:rsidR="005E4342" w:rsidRPr="005E4342" w:rsidRDefault="005E4342" w:rsidP="005E4342">
      <w:pPr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"לקוח מוסדי" בתנאי סף זה משמעו: רשויות מקומיות, תאגידים מקומיים, תאגידי מים וביוב, חברת ממשלתיות, משרד ממשלה, גופי סמך, משטרה, צה"ל, קופ"ח, קק"ל, גופים "דו מהותיים", בנקים תיאטראות, רכבת ישראל, מפעלים (לרבות מפעלי תעשייה), חברות/קבלני בניה, חברות/קבלני תשתיות, חברות/קבלני פיתוח, חברות ציבוריות."</w:t>
      </w:r>
    </w:p>
    <w:p w:rsidR="00C0750D" w:rsidRDefault="004D2134" w:rsidP="00FF515E">
      <w:pPr>
        <w:spacing w:after="0"/>
        <w:ind w:left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5E4342" w:rsidRPr="005E4342" w:rsidRDefault="005E4342" w:rsidP="006F4CFA">
      <w:pPr>
        <w:pStyle w:val="3"/>
        <w:rPr>
          <w:rtl/>
        </w:rPr>
      </w:pPr>
      <w:r w:rsidRPr="005E4342">
        <w:rPr>
          <w:rFonts w:hint="cs"/>
          <w:rtl/>
        </w:rPr>
        <w:t xml:space="preserve">סעיף 3.5 הקיים: </w:t>
      </w:r>
    </w:p>
    <w:p w:rsidR="005E4342" w:rsidRDefault="005E4342" w:rsidP="004D3D5A">
      <w:pPr>
        <w:pStyle w:val="a9"/>
        <w:spacing w:after="0"/>
        <w:ind w:left="850" w:right="127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"3.5 לא התקבלו לגבי המועמד המלצות שליליות מאיזה מהרשויות לה</w:t>
      </w:r>
      <w:r w:rsidR="004D3D5A">
        <w:rPr>
          <w:rFonts w:cs="David" w:hint="cs"/>
          <w:sz w:val="24"/>
          <w:szCs w:val="24"/>
          <w:rtl/>
        </w:rPr>
        <w:t>ם</w:t>
      </w:r>
      <w:r>
        <w:rPr>
          <w:rFonts w:cs="David" w:hint="cs"/>
          <w:sz w:val="24"/>
          <w:szCs w:val="24"/>
          <w:rtl/>
        </w:rPr>
        <w:t xml:space="preserve"> </w:t>
      </w:r>
      <w:r w:rsidR="00FF515E">
        <w:rPr>
          <w:rFonts w:cs="David" w:hint="cs"/>
          <w:sz w:val="24"/>
          <w:szCs w:val="24"/>
          <w:rtl/>
        </w:rPr>
        <w:t xml:space="preserve">נתן </w:t>
      </w:r>
      <w:r>
        <w:rPr>
          <w:rFonts w:cs="David" w:hint="cs"/>
          <w:sz w:val="24"/>
          <w:szCs w:val="24"/>
          <w:rtl/>
        </w:rPr>
        <w:t>שירותים, לרבות העיריה (בין אם אלו פורטו על ידו ובין אם לאו).</w:t>
      </w:r>
    </w:p>
    <w:p w:rsidR="005E4342" w:rsidRDefault="005E4342" w:rsidP="00C0750D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5E4342" w:rsidRDefault="005E4342" w:rsidP="006F4CFA">
      <w:pPr>
        <w:pStyle w:val="3"/>
        <w:rPr>
          <w:rtl/>
        </w:rPr>
      </w:pPr>
      <w:r>
        <w:rPr>
          <w:rFonts w:hint="cs"/>
          <w:rtl/>
        </w:rPr>
        <w:t>סעיף 3.5, החדש/המתוקן:</w:t>
      </w:r>
    </w:p>
    <w:p w:rsidR="005E4342" w:rsidRDefault="005E4342" w:rsidP="002705B3">
      <w:pPr>
        <w:pStyle w:val="a9"/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"3.5 לא התקבלו לגבי המועמד המלצות שליליות מאיזה מהלקוחות המוסדיים </w:t>
      </w:r>
      <w:r w:rsidR="00FF515E">
        <w:rPr>
          <w:rFonts w:cs="David" w:hint="cs"/>
          <w:sz w:val="24"/>
          <w:szCs w:val="24"/>
          <w:rtl/>
        </w:rPr>
        <w:t xml:space="preserve">ו/או האחרים </w:t>
      </w:r>
      <w:r>
        <w:rPr>
          <w:rFonts w:cs="David" w:hint="cs"/>
          <w:sz w:val="24"/>
          <w:szCs w:val="24"/>
          <w:rtl/>
        </w:rPr>
        <w:t>לה</w:t>
      </w:r>
      <w:r w:rsidR="002705B3">
        <w:rPr>
          <w:rFonts w:cs="David" w:hint="cs"/>
          <w:sz w:val="24"/>
          <w:szCs w:val="24"/>
          <w:rtl/>
        </w:rPr>
        <w:t>ם</w:t>
      </w:r>
      <w:r>
        <w:rPr>
          <w:rFonts w:cs="David" w:hint="cs"/>
          <w:sz w:val="24"/>
          <w:szCs w:val="24"/>
          <w:rtl/>
        </w:rPr>
        <w:t xml:space="preserve"> </w:t>
      </w:r>
      <w:r w:rsidR="00FF515E">
        <w:rPr>
          <w:rFonts w:cs="David" w:hint="cs"/>
          <w:sz w:val="24"/>
          <w:szCs w:val="24"/>
          <w:rtl/>
        </w:rPr>
        <w:t>נתן</w:t>
      </w:r>
      <w:r>
        <w:rPr>
          <w:rFonts w:cs="David" w:hint="cs"/>
          <w:sz w:val="24"/>
          <w:szCs w:val="24"/>
          <w:rtl/>
        </w:rPr>
        <w:t xml:space="preserve"> שירותים, לרבות העיריה (בין אם אלו פורטו על ידו ובין אם לאו).</w:t>
      </w:r>
    </w:p>
    <w:p w:rsidR="005E4342" w:rsidRDefault="005E4342" w:rsidP="002705B3">
      <w:pPr>
        <w:pStyle w:val="a9"/>
        <w:spacing w:after="0"/>
        <w:ind w:left="709" w:right="709"/>
        <w:jc w:val="both"/>
        <w:rPr>
          <w:rFonts w:cs="David"/>
          <w:sz w:val="24"/>
          <w:szCs w:val="24"/>
          <w:rtl/>
        </w:rPr>
      </w:pPr>
    </w:p>
    <w:p w:rsidR="005E4342" w:rsidRDefault="005E4342" w:rsidP="002705B3">
      <w:pPr>
        <w:pStyle w:val="a9"/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הוועדה מחליטה לפרסם קול קורא נוסף להצטרפות למאגר היועצים עם התנאים המתוקנים, מועד הגשת ההצעות יהיה 21 יום מיום הפרסום כדין.</w:t>
      </w:r>
    </w:p>
    <w:p w:rsidR="005E4342" w:rsidRDefault="005E4342" w:rsidP="002705B3">
      <w:pPr>
        <w:pStyle w:val="a9"/>
        <w:spacing w:after="0"/>
        <w:ind w:left="709" w:right="709"/>
        <w:jc w:val="both"/>
        <w:rPr>
          <w:rFonts w:cs="David"/>
          <w:sz w:val="24"/>
          <w:szCs w:val="24"/>
          <w:rtl/>
        </w:rPr>
      </w:pPr>
    </w:p>
    <w:p w:rsidR="005E4342" w:rsidRDefault="005E4342" w:rsidP="002705B3">
      <w:pPr>
        <w:pStyle w:val="a9"/>
        <w:spacing w:after="0"/>
        <w:ind w:left="709" w:right="709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הוועדה מחליטה להודיע לכל היועצים שבקשותיהם נדחו (חלקית או באופן מלא) על השינוי האמור. בקשות שהוגשו יבחנו בהמשך גם על </w:t>
      </w:r>
      <w:r w:rsidR="00FF515E">
        <w:rPr>
          <w:rFonts w:cs="David" w:hint="cs"/>
          <w:sz w:val="24"/>
          <w:szCs w:val="24"/>
          <w:rtl/>
        </w:rPr>
        <w:t>בסיס</w:t>
      </w:r>
      <w:r>
        <w:rPr>
          <w:rFonts w:cs="David" w:hint="cs"/>
          <w:sz w:val="24"/>
          <w:szCs w:val="24"/>
          <w:rtl/>
        </w:rPr>
        <w:t xml:space="preserve"> שינוי זה.</w:t>
      </w:r>
      <w:r w:rsidR="002705B3">
        <w:rPr>
          <w:rFonts w:cs="David" w:hint="cs"/>
          <w:sz w:val="24"/>
          <w:szCs w:val="24"/>
          <w:rtl/>
        </w:rPr>
        <w:t>"</w:t>
      </w:r>
    </w:p>
    <w:p w:rsidR="005E4342" w:rsidRDefault="005E4342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4D3D5A" w:rsidRDefault="004D3D5A" w:rsidP="006F4CFA">
      <w:pPr>
        <w:pStyle w:val="2"/>
        <w:ind w:left="96"/>
        <w:rPr>
          <w:rtl/>
        </w:rPr>
      </w:pPr>
      <w:r>
        <w:rPr>
          <w:rFonts w:hint="cs"/>
          <w:rtl/>
        </w:rPr>
        <w:t>כללי:</w:t>
      </w:r>
    </w:p>
    <w:p w:rsidR="004D3D5A" w:rsidRPr="004D3D5A" w:rsidRDefault="004D3D5A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5E4342" w:rsidRDefault="005E4342" w:rsidP="006F4CFA">
      <w:pPr>
        <w:pStyle w:val="a9"/>
        <w:spacing w:after="0"/>
        <w:ind w:left="9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האחריות לביצוע החלטות הוועדה מוטלת על מנכ"ל העיריה.</w:t>
      </w:r>
    </w:p>
    <w:p w:rsidR="005E4342" w:rsidRDefault="005E4342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5E4342" w:rsidRDefault="005E4342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פרוטוקול זה</w:t>
      </w:r>
      <w:r w:rsidR="004D3D5A">
        <w:rPr>
          <w:rFonts w:cs="David" w:hint="cs"/>
          <w:sz w:val="24"/>
          <w:szCs w:val="24"/>
          <w:rtl/>
        </w:rPr>
        <w:t>, על נספחיו,</w:t>
      </w:r>
      <w:r>
        <w:rPr>
          <w:rFonts w:cs="David" w:hint="cs"/>
          <w:sz w:val="24"/>
          <w:szCs w:val="24"/>
          <w:rtl/>
        </w:rPr>
        <w:t xml:space="preserve"> יפורסם באתר העיריה.</w:t>
      </w:r>
    </w:p>
    <w:p w:rsidR="005E4342" w:rsidRDefault="005E4342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4D3D5A" w:rsidRDefault="004D3D5A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באחריות מנכ"ל העיריה לדאוג לפרסום מסודר של הרשימות </w:t>
      </w:r>
      <w:r w:rsidR="002705B3">
        <w:rPr>
          <w:rFonts w:cs="David" w:hint="cs"/>
          <w:sz w:val="24"/>
          <w:szCs w:val="24"/>
          <w:rtl/>
        </w:rPr>
        <w:t>שאושר</w:t>
      </w:r>
      <w:r w:rsidR="004F3D7D">
        <w:rPr>
          <w:rFonts w:cs="David" w:hint="cs"/>
          <w:sz w:val="24"/>
          <w:szCs w:val="24"/>
          <w:rtl/>
        </w:rPr>
        <w:t>ו</w:t>
      </w:r>
      <w:r w:rsidR="002705B3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באתר העיריה.</w:t>
      </w:r>
    </w:p>
    <w:p w:rsidR="004D3D5A" w:rsidRDefault="004D3D5A" w:rsidP="005E4342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5E4342" w:rsidRDefault="005E4342" w:rsidP="004D3D5A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הודעות מפורטות ליועצים </w:t>
      </w:r>
      <w:r w:rsidR="00FF515E">
        <w:rPr>
          <w:rFonts w:cs="David" w:hint="cs"/>
          <w:sz w:val="24"/>
          <w:szCs w:val="24"/>
          <w:rtl/>
        </w:rPr>
        <w:t xml:space="preserve">השונים </w:t>
      </w:r>
      <w:r>
        <w:rPr>
          <w:rFonts w:cs="David" w:hint="cs"/>
          <w:sz w:val="24"/>
          <w:szCs w:val="24"/>
          <w:rtl/>
        </w:rPr>
        <w:t>ישלחו באחריות מנכ"ל העיריה, עם העתק לחבר</w:t>
      </w:r>
      <w:r w:rsidR="00FF515E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 הוועדה.</w:t>
      </w:r>
      <w:r w:rsidR="00FF515E">
        <w:rPr>
          <w:rFonts w:cs="David" w:hint="cs"/>
          <w:sz w:val="24"/>
          <w:szCs w:val="24"/>
          <w:rtl/>
        </w:rPr>
        <w:t xml:space="preserve"> בהודעות יפורטו ההחלטה שהתקבלה לגבי היועץ, התחומים בהם אושר</w:t>
      </w:r>
      <w:r w:rsidR="004D3D5A">
        <w:rPr>
          <w:rFonts w:cs="David" w:hint="cs"/>
          <w:sz w:val="24"/>
          <w:szCs w:val="24"/>
          <w:rtl/>
        </w:rPr>
        <w:t>ה בקשתו</w:t>
      </w:r>
      <w:r w:rsidR="00FF515E">
        <w:rPr>
          <w:rFonts w:cs="David" w:hint="cs"/>
          <w:sz w:val="24"/>
          <w:szCs w:val="24"/>
          <w:rtl/>
        </w:rPr>
        <w:t>, התחומים בהם לא אושר</w:t>
      </w:r>
      <w:r w:rsidR="004D3D5A">
        <w:rPr>
          <w:rFonts w:cs="David" w:hint="cs"/>
          <w:sz w:val="24"/>
          <w:szCs w:val="24"/>
          <w:rtl/>
        </w:rPr>
        <w:t>ה בקשתו</w:t>
      </w:r>
      <w:r w:rsidR="00FF515E">
        <w:rPr>
          <w:rFonts w:cs="David" w:hint="cs"/>
          <w:sz w:val="24"/>
          <w:szCs w:val="24"/>
          <w:rtl/>
        </w:rPr>
        <w:t>, וכן יוד</w:t>
      </w:r>
      <w:r w:rsidR="004D3D5A">
        <w:rPr>
          <w:rFonts w:cs="David" w:hint="cs"/>
          <w:sz w:val="24"/>
          <w:szCs w:val="24"/>
          <w:rtl/>
        </w:rPr>
        <w:t>י</w:t>
      </w:r>
      <w:r w:rsidR="00FF515E">
        <w:rPr>
          <w:rFonts w:cs="David" w:hint="cs"/>
          <w:sz w:val="24"/>
          <w:szCs w:val="24"/>
          <w:rtl/>
        </w:rPr>
        <w:t>ע</w:t>
      </w:r>
      <w:r w:rsidR="004D3D5A">
        <w:rPr>
          <w:rFonts w:cs="David" w:hint="cs"/>
          <w:sz w:val="24"/>
          <w:szCs w:val="24"/>
          <w:rtl/>
        </w:rPr>
        <w:t>ו</w:t>
      </w:r>
      <w:r w:rsidR="00FF515E">
        <w:rPr>
          <w:rFonts w:cs="David" w:hint="cs"/>
          <w:sz w:val="24"/>
          <w:szCs w:val="24"/>
          <w:rtl/>
        </w:rPr>
        <w:t xml:space="preserve"> לו </w:t>
      </w:r>
      <w:r w:rsidR="004D3D5A">
        <w:rPr>
          <w:rFonts w:cs="David" w:hint="cs"/>
          <w:sz w:val="24"/>
          <w:szCs w:val="24"/>
          <w:rtl/>
        </w:rPr>
        <w:t>ע</w:t>
      </w:r>
      <w:r w:rsidR="00FF515E">
        <w:rPr>
          <w:rFonts w:cs="David" w:hint="cs"/>
          <w:sz w:val="24"/>
          <w:szCs w:val="24"/>
          <w:rtl/>
        </w:rPr>
        <w:t>ל הח</w:t>
      </w:r>
      <w:r w:rsidR="004D3D5A">
        <w:rPr>
          <w:rFonts w:cs="David" w:hint="cs"/>
          <w:sz w:val="24"/>
          <w:szCs w:val="24"/>
          <w:rtl/>
        </w:rPr>
        <w:t>לטות הוועדה באשר לתיקון תנאי סף וזכותו להגיש בקשתו מחדש.</w:t>
      </w:r>
    </w:p>
    <w:p w:rsidR="004D3D5A" w:rsidRDefault="004D3D5A" w:rsidP="004D3D5A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4D3D5A" w:rsidRDefault="004D3D5A" w:rsidP="004D3D5A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באחריות מנכ"ל העיריה לדאוג לפרסום מסודר של הרשימות באתר העיריה.</w:t>
      </w:r>
    </w:p>
    <w:p w:rsidR="004D3D5A" w:rsidRDefault="004D3D5A" w:rsidP="004D3D5A">
      <w:pPr>
        <w:pStyle w:val="a9"/>
        <w:spacing w:after="0"/>
        <w:ind w:left="95"/>
        <w:jc w:val="both"/>
        <w:rPr>
          <w:rFonts w:cs="David"/>
          <w:sz w:val="24"/>
          <w:szCs w:val="24"/>
          <w:rtl/>
        </w:rPr>
      </w:pPr>
    </w:p>
    <w:p w:rsidR="006F4CFA" w:rsidRPr="006F4CFA" w:rsidRDefault="004D3D5A" w:rsidP="006F4CFA">
      <w:pPr>
        <w:pStyle w:val="a9"/>
        <w:spacing w:after="0"/>
        <w:ind w:left="95"/>
        <w:jc w:val="center"/>
        <w:rPr>
          <w:rFonts w:cs="David"/>
          <w:b/>
          <w:bCs/>
          <w:sz w:val="28"/>
          <w:szCs w:val="28"/>
          <w:rtl/>
        </w:rPr>
        <w:sectPr w:rsidR="006F4CFA" w:rsidRPr="006F4CFA" w:rsidSect="00DD6C7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91" w:right="849" w:bottom="1191" w:left="709" w:header="709" w:footer="709" w:gutter="0"/>
          <w:cols w:space="708"/>
          <w:bidi/>
          <w:rtlGutter/>
          <w:docGrid w:linePitch="360"/>
        </w:sectPr>
      </w:pPr>
      <w:r w:rsidRPr="004D3D5A">
        <w:rPr>
          <w:rFonts w:cs="David" w:hint="cs"/>
          <w:b/>
          <w:bCs/>
          <w:sz w:val="28"/>
          <w:szCs w:val="28"/>
          <w:rtl/>
        </w:rPr>
        <w:t>ולראיה בא</w:t>
      </w:r>
      <w:r w:rsidR="002705B3">
        <w:rPr>
          <w:rFonts w:cs="David" w:hint="cs"/>
          <w:b/>
          <w:bCs/>
          <w:sz w:val="28"/>
          <w:szCs w:val="28"/>
          <w:rtl/>
        </w:rPr>
        <w:t>נ</w:t>
      </w:r>
      <w:r w:rsidRPr="004D3D5A">
        <w:rPr>
          <w:rFonts w:cs="David" w:hint="cs"/>
          <w:b/>
          <w:bCs/>
          <w:sz w:val="28"/>
          <w:szCs w:val="28"/>
          <w:rtl/>
        </w:rPr>
        <w:t>ו על החתום</w:t>
      </w:r>
    </w:p>
    <w:p w:rsidR="006F4CFA" w:rsidRPr="006F4CFA" w:rsidRDefault="006F4CFA" w:rsidP="006F4CFA">
      <w:pPr>
        <w:pStyle w:val="a9"/>
        <w:pBdr>
          <w:top w:val="single" w:sz="4" w:space="1" w:color="auto"/>
        </w:pBdr>
        <w:spacing w:before="480" w:after="0"/>
        <w:ind w:left="96"/>
        <w:contextualSpacing w:val="0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רו"ח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מג'די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אבו-מוך</w:t>
      </w:r>
      <w:r>
        <w:rPr>
          <w:rFonts w:cs="David"/>
          <w:b/>
          <w:bCs/>
          <w:sz w:val="24"/>
          <w:szCs w:val="24"/>
          <w:rtl/>
        </w:rPr>
        <w:br/>
      </w:r>
      <w:r w:rsidRPr="006F4CFA">
        <w:rPr>
          <w:rFonts w:cs="David" w:hint="cs"/>
          <w:b/>
          <w:bCs/>
          <w:sz w:val="24"/>
          <w:szCs w:val="24"/>
          <w:rtl/>
        </w:rPr>
        <w:t>גזבר העיריה</w:t>
      </w:r>
    </w:p>
    <w:p w:rsidR="006F4CFA" w:rsidRPr="006F4CFA" w:rsidRDefault="006F4CFA" w:rsidP="006F4CFA">
      <w:pPr>
        <w:pStyle w:val="a9"/>
        <w:pBdr>
          <w:top w:val="single" w:sz="4" w:space="1" w:color="auto"/>
        </w:pBdr>
        <w:spacing w:before="480" w:after="0"/>
        <w:ind w:left="96"/>
        <w:contextualSpacing w:val="0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br w:type="column"/>
      </w:r>
      <w:r w:rsidRPr="004D3D5A">
        <w:rPr>
          <w:rFonts w:cs="David" w:hint="cs"/>
          <w:b/>
          <w:bCs/>
          <w:sz w:val="24"/>
          <w:szCs w:val="24"/>
          <w:rtl/>
        </w:rPr>
        <w:t>מוחמד אבו-פרחי</w:t>
      </w:r>
      <w:r>
        <w:rPr>
          <w:rFonts w:cs="David"/>
          <w:b/>
          <w:bCs/>
          <w:sz w:val="24"/>
          <w:szCs w:val="24"/>
          <w:rtl/>
        </w:rPr>
        <w:br/>
      </w:r>
      <w:r w:rsidRPr="006F4CFA">
        <w:rPr>
          <w:rFonts w:cs="David" w:hint="cs"/>
          <w:b/>
          <w:bCs/>
          <w:sz w:val="24"/>
          <w:szCs w:val="24"/>
          <w:rtl/>
        </w:rPr>
        <w:t>מנכ"ל העיריה</w:t>
      </w:r>
    </w:p>
    <w:p w:rsidR="006F4CFA" w:rsidRPr="006F4CFA" w:rsidRDefault="006F4CFA" w:rsidP="006F4CFA">
      <w:pPr>
        <w:pStyle w:val="a9"/>
        <w:pBdr>
          <w:top w:val="single" w:sz="4" w:space="1" w:color="auto"/>
        </w:pBdr>
        <w:spacing w:before="480" w:after="0"/>
        <w:ind w:left="96"/>
        <w:contextualSpacing w:val="0"/>
        <w:jc w:val="center"/>
        <w:rPr>
          <w:rFonts w:cs="David"/>
          <w:b/>
          <w:bCs/>
          <w:sz w:val="24"/>
          <w:szCs w:val="24"/>
          <w:rtl/>
        </w:rPr>
        <w:sectPr w:rsidR="006F4CFA" w:rsidRPr="006F4CFA" w:rsidSect="006F4CFA">
          <w:type w:val="continuous"/>
          <w:pgSz w:w="11906" w:h="16838"/>
          <w:pgMar w:top="1191" w:right="849" w:bottom="1191" w:left="709" w:header="709" w:footer="709" w:gutter="0"/>
          <w:cols w:num="3" w:space="708"/>
          <w:bidi/>
          <w:rtlGutter/>
          <w:docGrid w:linePitch="360"/>
        </w:sectPr>
      </w:pPr>
      <w:r>
        <w:rPr>
          <w:rFonts w:cs="David"/>
          <w:b/>
          <w:bCs/>
          <w:sz w:val="24"/>
          <w:szCs w:val="24"/>
          <w:rtl/>
        </w:rPr>
        <w:br w:type="column"/>
      </w:r>
      <w:proofErr w:type="spellStart"/>
      <w:r w:rsidRPr="004D3D5A">
        <w:rPr>
          <w:rFonts w:cs="David" w:hint="cs"/>
          <w:b/>
          <w:bCs/>
          <w:sz w:val="24"/>
          <w:szCs w:val="24"/>
          <w:rtl/>
        </w:rPr>
        <w:t>חוסאם</w:t>
      </w:r>
      <w:proofErr w:type="spellEnd"/>
      <w:r w:rsidRPr="004D3D5A">
        <w:rPr>
          <w:rFonts w:cs="David" w:hint="cs"/>
          <w:b/>
          <w:bCs/>
          <w:sz w:val="24"/>
          <w:szCs w:val="24"/>
          <w:rtl/>
        </w:rPr>
        <w:t xml:space="preserve"> אבו-פול, עו"ד</w:t>
      </w:r>
      <w:r>
        <w:rPr>
          <w:rFonts w:cs="David"/>
          <w:b/>
          <w:bCs/>
          <w:sz w:val="24"/>
          <w:szCs w:val="24"/>
          <w:rtl/>
        </w:rPr>
        <w:br/>
      </w:r>
      <w:r w:rsidRPr="006F4CFA">
        <w:rPr>
          <w:rFonts w:cs="David" w:hint="cs"/>
          <w:b/>
          <w:bCs/>
          <w:sz w:val="24"/>
          <w:szCs w:val="24"/>
          <w:rtl/>
        </w:rPr>
        <w:t xml:space="preserve">היועץ המשפטי </w:t>
      </w:r>
      <w:proofErr w:type="spellStart"/>
      <w:r w:rsidRPr="006F4CFA">
        <w:rPr>
          <w:rFonts w:cs="David" w:hint="cs"/>
          <w:b/>
          <w:bCs/>
          <w:sz w:val="24"/>
          <w:szCs w:val="24"/>
          <w:rtl/>
        </w:rPr>
        <w:t>לעיריה</w:t>
      </w:r>
      <w:proofErr w:type="spellEnd"/>
    </w:p>
    <w:p w:rsidR="00054130" w:rsidRPr="00054130" w:rsidRDefault="00137175" w:rsidP="006F4CFA">
      <w:pPr>
        <w:spacing w:before="1080" w:after="0"/>
        <w:ind w:left="28"/>
        <w:jc w:val="both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פרוטוקול ישיבת ועדת התקשרויות - 2018</w:t>
      </w:r>
    </w:p>
    <w:sectPr w:rsidR="00054130" w:rsidRPr="00054130" w:rsidSect="006F4CFA">
      <w:type w:val="continuous"/>
      <w:pgSz w:w="11906" w:h="16838"/>
      <w:pgMar w:top="1191" w:right="849" w:bottom="1191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0A0" w:rsidRDefault="00FA40A0" w:rsidP="00EC4E03">
      <w:pPr>
        <w:spacing w:after="0" w:line="240" w:lineRule="auto"/>
      </w:pPr>
      <w:r>
        <w:separator/>
      </w:r>
    </w:p>
  </w:endnote>
  <w:endnote w:type="continuationSeparator" w:id="0">
    <w:p w:rsidR="00FA40A0" w:rsidRDefault="00FA40A0" w:rsidP="00EC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10811833"/>
      <w:docPartObj>
        <w:docPartGallery w:val="Page Numbers (Bottom of Page)"/>
        <w:docPartUnique/>
      </w:docPartObj>
    </w:sdtPr>
    <w:sdtEndPr/>
    <w:sdtContent>
      <w:p w:rsidR="002E77AE" w:rsidRDefault="002E77AE">
        <w:pPr>
          <w:pStyle w:val="a5"/>
          <w:jc w:val="center"/>
        </w:pPr>
        <w:r w:rsidRPr="00984FE5">
          <w:rPr>
            <w:sz w:val="28"/>
            <w:szCs w:val="28"/>
          </w:rPr>
          <w:fldChar w:fldCharType="begin"/>
        </w:r>
        <w:r w:rsidRPr="00984FE5">
          <w:rPr>
            <w:sz w:val="28"/>
            <w:szCs w:val="28"/>
          </w:rPr>
          <w:instrText xml:space="preserve"> PAGE   \* MERGEFORMAT </w:instrText>
        </w:r>
        <w:r w:rsidRPr="00984FE5">
          <w:rPr>
            <w:sz w:val="28"/>
            <w:szCs w:val="28"/>
          </w:rPr>
          <w:fldChar w:fldCharType="separate"/>
        </w:r>
        <w:r w:rsidR="0073496B" w:rsidRPr="0073496B">
          <w:rPr>
            <w:rFonts w:cs="Calibri"/>
            <w:noProof/>
            <w:sz w:val="28"/>
            <w:szCs w:val="28"/>
            <w:rtl/>
            <w:lang w:val="he-IL"/>
          </w:rPr>
          <w:t>1</w:t>
        </w:r>
        <w:r w:rsidRPr="00984FE5">
          <w:rPr>
            <w:sz w:val="28"/>
            <w:szCs w:val="28"/>
          </w:rPr>
          <w:fldChar w:fldCharType="end"/>
        </w:r>
      </w:p>
    </w:sdtContent>
  </w:sdt>
  <w:p w:rsidR="002E77AE" w:rsidRDefault="002E7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0A0" w:rsidRDefault="00FA40A0" w:rsidP="00EC4E03">
      <w:pPr>
        <w:spacing w:after="0" w:line="240" w:lineRule="auto"/>
      </w:pPr>
      <w:r>
        <w:separator/>
      </w:r>
    </w:p>
  </w:footnote>
  <w:footnote w:type="continuationSeparator" w:id="0">
    <w:p w:rsidR="00FA40A0" w:rsidRDefault="00FA40A0" w:rsidP="00EC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AE" w:rsidRDefault="00FA40A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8" o:spid="_x0000_s2050" type="#_x0000_t75" style="position:absolute;left:0;text-align:left;margin-left:0;margin-top:0;width:578.15pt;height:807.85pt;z-index:-251657216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AE" w:rsidRDefault="00FA40A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9" o:spid="_x0000_s2051" type="#_x0000_t75" alt="סמל עיריית באקה אלגרבייה.&#10;דרכי התקשרות:&#10;אתר אינטרנט: www.baqa.co.il&#10;פייסבוק: baqamuni&#10;דואר אלקטרוני: info@baqa.co.il&#10;טלפון: 04-6286500&#10;פקס: 077-5558815" style="position:absolute;left:0;text-align:left;margin-left:-30.35pt;margin-top:-44.4pt;width:578.15pt;height:807.85pt;z-index:-251656192;mso-position-horizontal:absolute;mso-position-horizontal-relative:margin;mso-position-vertical-relative:margin" o:allowincell="f">
          <v:imagedata r:id="rId1" o:title="daf-logo-cs6-sof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AE" w:rsidRDefault="00FA40A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7" o:spid="_x0000_s2049" type="#_x0000_t75" style="position:absolute;left:0;text-align:left;margin-left:0;margin-top:0;width:578.15pt;height:807.85pt;z-index:-251658240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5A3"/>
    <w:multiLevelType w:val="hybridMultilevel"/>
    <w:tmpl w:val="440855F8"/>
    <w:lvl w:ilvl="0" w:tplc="812288B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39B7CF8"/>
    <w:multiLevelType w:val="hybridMultilevel"/>
    <w:tmpl w:val="B618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679E"/>
    <w:multiLevelType w:val="hybridMultilevel"/>
    <w:tmpl w:val="4D669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46DF6"/>
    <w:multiLevelType w:val="hybridMultilevel"/>
    <w:tmpl w:val="440855F8"/>
    <w:lvl w:ilvl="0" w:tplc="812288B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054B3E08"/>
    <w:multiLevelType w:val="hybridMultilevel"/>
    <w:tmpl w:val="D340DF6C"/>
    <w:lvl w:ilvl="0" w:tplc="DFE85F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12E"/>
    <w:multiLevelType w:val="hybridMultilevel"/>
    <w:tmpl w:val="922E82FA"/>
    <w:lvl w:ilvl="0" w:tplc="3AD2FB3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08E027B6"/>
    <w:multiLevelType w:val="hybridMultilevel"/>
    <w:tmpl w:val="440855F8"/>
    <w:lvl w:ilvl="0" w:tplc="812288B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7" w15:restartNumberingAfterBreak="0">
    <w:nsid w:val="0CBB1C15"/>
    <w:multiLevelType w:val="hybridMultilevel"/>
    <w:tmpl w:val="96523326"/>
    <w:lvl w:ilvl="0" w:tplc="694292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60143"/>
    <w:multiLevelType w:val="hybridMultilevel"/>
    <w:tmpl w:val="DB5C01B2"/>
    <w:lvl w:ilvl="0" w:tplc="CEB690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F2331"/>
    <w:multiLevelType w:val="hybridMultilevel"/>
    <w:tmpl w:val="9C0C2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D64B4"/>
    <w:multiLevelType w:val="hybridMultilevel"/>
    <w:tmpl w:val="C56C5282"/>
    <w:lvl w:ilvl="0" w:tplc="DCB485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8303B"/>
    <w:multiLevelType w:val="hybridMultilevel"/>
    <w:tmpl w:val="10A62656"/>
    <w:lvl w:ilvl="0" w:tplc="C76864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942"/>
    <w:multiLevelType w:val="hybridMultilevel"/>
    <w:tmpl w:val="76B0E31A"/>
    <w:lvl w:ilvl="0" w:tplc="AEA2E9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380B"/>
    <w:multiLevelType w:val="hybridMultilevel"/>
    <w:tmpl w:val="C380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16651"/>
    <w:multiLevelType w:val="hybridMultilevel"/>
    <w:tmpl w:val="B76AD248"/>
    <w:lvl w:ilvl="0" w:tplc="4DA29EA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5" w15:restartNumberingAfterBreak="0">
    <w:nsid w:val="34EF05C6"/>
    <w:multiLevelType w:val="hybridMultilevel"/>
    <w:tmpl w:val="C380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2AE8"/>
    <w:multiLevelType w:val="hybridMultilevel"/>
    <w:tmpl w:val="440855F8"/>
    <w:lvl w:ilvl="0" w:tplc="812288B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7" w15:restartNumberingAfterBreak="0">
    <w:nsid w:val="3E4757B4"/>
    <w:multiLevelType w:val="hybridMultilevel"/>
    <w:tmpl w:val="7DBC0608"/>
    <w:lvl w:ilvl="0" w:tplc="1FF8E3FA">
      <w:start w:val="1"/>
      <w:numFmt w:val="bullet"/>
      <w:lvlText w:val="-"/>
      <w:lvlJc w:val="left"/>
      <w:pPr>
        <w:ind w:left="735" w:hanging="360"/>
      </w:pPr>
      <w:rPr>
        <w:rFonts w:ascii="Courier New" w:eastAsiaTheme="minorHAnsi" w:hAnsi="Courier New" w:cs="David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3EE47F7F"/>
    <w:multiLevelType w:val="hybridMultilevel"/>
    <w:tmpl w:val="3B301960"/>
    <w:lvl w:ilvl="0" w:tplc="0FBC22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63FA"/>
    <w:multiLevelType w:val="hybridMultilevel"/>
    <w:tmpl w:val="922E82FA"/>
    <w:lvl w:ilvl="0" w:tplc="3AD2FB3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44CF6A20"/>
    <w:multiLevelType w:val="hybridMultilevel"/>
    <w:tmpl w:val="440855F8"/>
    <w:lvl w:ilvl="0" w:tplc="812288B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1" w15:restartNumberingAfterBreak="0">
    <w:nsid w:val="46A572E1"/>
    <w:multiLevelType w:val="hybridMultilevel"/>
    <w:tmpl w:val="E2BE2314"/>
    <w:lvl w:ilvl="0" w:tplc="01C2D7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673F9"/>
    <w:multiLevelType w:val="hybridMultilevel"/>
    <w:tmpl w:val="802C7C06"/>
    <w:lvl w:ilvl="0" w:tplc="C938F1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33CC1"/>
    <w:multiLevelType w:val="hybridMultilevel"/>
    <w:tmpl w:val="922E82FA"/>
    <w:lvl w:ilvl="0" w:tplc="3AD2FB3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4DBD1616"/>
    <w:multiLevelType w:val="hybridMultilevel"/>
    <w:tmpl w:val="399EAEEE"/>
    <w:lvl w:ilvl="0" w:tplc="E9B45C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12539"/>
    <w:multiLevelType w:val="hybridMultilevel"/>
    <w:tmpl w:val="C380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53EB6"/>
    <w:multiLevelType w:val="hybridMultilevel"/>
    <w:tmpl w:val="A0880074"/>
    <w:lvl w:ilvl="0" w:tplc="8C3E93D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7" w15:restartNumberingAfterBreak="0">
    <w:nsid w:val="52E97AA8"/>
    <w:multiLevelType w:val="hybridMultilevel"/>
    <w:tmpl w:val="C4D0D208"/>
    <w:lvl w:ilvl="0" w:tplc="B58083B2">
      <w:start w:val="1"/>
      <w:numFmt w:val="hebrew1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57E531D5"/>
    <w:multiLevelType w:val="hybridMultilevel"/>
    <w:tmpl w:val="85660376"/>
    <w:lvl w:ilvl="0" w:tplc="261C79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D48B4"/>
    <w:multiLevelType w:val="hybridMultilevel"/>
    <w:tmpl w:val="0B94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26035"/>
    <w:multiLevelType w:val="hybridMultilevel"/>
    <w:tmpl w:val="56009A16"/>
    <w:lvl w:ilvl="0" w:tplc="4440B0BA">
      <w:start w:val="1"/>
      <w:numFmt w:val="hebrew1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1" w15:restartNumberingAfterBreak="0">
    <w:nsid w:val="663D6C7A"/>
    <w:multiLevelType w:val="hybridMultilevel"/>
    <w:tmpl w:val="CCC67EF2"/>
    <w:lvl w:ilvl="0" w:tplc="1728C3D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36D2E"/>
    <w:multiLevelType w:val="hybridMultilevel"/>
    <w:tmpl w:val="A8C2ABB2"/>
    <w:lvl w:ilvl="0" w:tplc="3EDAAB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B0038"/>
    <w:multiLevelType w:val="hybridMultilevel"/>
    <w:tmpl w:val="922E82FA"/>
    <w:lvl w:ilvl="0" w:tplc="3AD2FB3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4" w15:restartNumberingAfterBreak="0">
    <w:nsid w:val="75FF03DB"/>
    <w:multiLevelType w:val="hybridMultilevel"/>
    <w:tmpl w:val="922E82FA"/>
    <w:lvl w:ilvl="0" w:tplc="3AD2FB3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5" w15:restartNumberingAfterBreak="0">
    <w:nsid w:val="7D7C4FCD"/>
    <w:multiLevelType w:val="hybridMultilevel"/>
    <w:tmpl w:val="922E82FA"/>
    <w:lvl w:ilvl="0" w:tplc="3AD2FB3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 w15:restartNumberingAfterBreak="0">
    <w:nsid w:val="7DCF36B7"/>
    <w:multiLevelType w:val="hybridMultilevel"/>
    <w:tmpl w:val="9E362ECE"/>
    <w:lvl w:ilvl="0" w:tplc="1E4E04B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4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20"/>
  </w:num>
  <w:num w:numId="11">
    <w:abstractNumId w:val="6"/>
  </w:num>
  <w:num w:numId="12">
    <w:abstractNumId w:val="16"/>
  </w:num>
  <w:num w:numId="13">
    <w:abstractNumId w:val="28"/>
  </w:num>
  <w:num w:numId="14">
    <w:abstractNumId w:val="0"/>
  </w:num>
  <w:num w:numId="15">
    <w:abstractNumId w:val="21"/>
  </w:num>
  <w:num w:numId="16">
    <w:abstractNumId w:val="31"/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4"/>
  </w:num>
  <w:num w:numId="22">
    <w:abstractNumId w:val="25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24"/>
  </w:num>
  <w:num w:numId="28">
    <w:abstractNumId w:val="15"/>
  </w:num>
  <w:num w:numId="29">
    <w:abstractNumId w:val="34"/>
  </w:num>
  <w:num w:numId="30">
    <w:abstractNumId w:val="19"/>
  </w:num>
  <w:num w:numId="31">
    <w:abstractNumId w:val="35"/>
  </w:num>
  <w:num w:numId="32">
    <w:abstractNumId w:val="29"/>
  </w:num>
  <w:num w:numId="33">
    <w:abstractNumId w:val="5"/>
  </w:num>
  <w:num w:numId="34">
    <w:abstractNumId w:val="33"/>
  </w:num>
  <w:num w:numId="35">
    <w:abstractNumId w:val="36"/>
  </w:num>
  <w:num w:numId="36">
    <w:abstractNumId w:val="2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03"/>
    <w:rsid w:val="000039C0"/>
    <w:rsid w:val="00003B48"/>
    <w:rsid w:val="00003C44"/>
    <w:rsid w:val="00005E1F"/>
    <w:rsid w:val="00021F59"/>
    <w:rsid w:val="0003568A"/>
    <w:rsid w:val="0004267F"/>
    <w:rsid w:val="000513CF"/>
    <w:rsid w:val="00054130"/>
    <w:rsid w:val="00057FF6"/>
    <w:rsid w:val="00067453"/>
    <w:rsid w:val="00072E41"/>
    <w:rsid w:val="000736AC"/>
    <w:rsid w:val="0008022E"/>
    <w:rsid w:val="00085831"/>
    <w:rsid w:val="00091FF1"/>
    <w:rsid w:val="00092DD1"/>
    <w:rsid w:val="000959A9"/>
    <w:rsid w:val="000A7490"/>
    <w:rsid w:val="000C7EAB"/>
    <w:rsid w:val="000D5700"/>
    <w:rsid w:val="000F172C"/>
    <w:rsid w:val="00100A16"/>
    <w:rsid w:val="00113343"/>
    <w:rsid w:val="001261FD"/>
    <w:rsid w:val="00137175"/>
    <w:rsid w:val="00140DEE"/>
    <w:rsid w:val="0016382B"/>
    <w:rsid w:val="001803D6"/>
    <w:rsid w:val="001953B1"/>
    <w:rsid w:val="0019568C"/>
    <w:rsid w:val="001D4473"/>
    <w:rsid w:val="001D4B4F"/>
    <w:rsid w:val="001F55F3"/>
    <w:rsid w:val="001F7D69"/>
    <w:rsid w:val="002040A1"/>
    <w:rsid w:val="00205A73"/>
    <w:rsid w:val="0022019E"/>
    <w:rsid w:val="002422FB"/>
    <w:rsid w:val="00247DA2"/>
    <w:rsid w:val="00254C0E"/>
    <w:rsid w:val="00262614"/>
    <w:rsid w:val="002631F9"/>
    <w:rsid w:val="00263834"/>
    <w:rsid w:val="00266123"/>
    <w:rsid w:val="002705B3"/>
    <w:rsid w:val="00276D6A"/>
    <w:rsid w:val="002D0F2F"/>
    <w:rsid w:val="002E77AE"/>
    <w:rsid w:val="00306F0E"/>
    <w:rsid w:val="00307813"/>
    <w:rsid w:val="0032425E"/>
    <w:rsid w:val="003356A8"/>
    <w:rsid w:val="0034253C"/>
    <w:rsid w:val="00344AEC"/>
    <w:rsid w:val="00350865"/>
    <w:rsid w:val="00361347"/>
    <w:rsid w:val="00362F1B"/>
    <w:rsid w:val="00370B36"/>
    <w:rsid w:val="00387BA3"/>
    <w:rsid w:val="003A1FFD"/>
    <w:rsid w:val="003A2C7B"/>
    <w:rsid w:val="003A37C8"/>
    <w:rsid w:val="003A41CA"/>
    <w:rsid w:val="003A41D7"/>
    <w:rsid w:val="003B3EC8"/>
    <w:rsid w:val="003C1E09"/>
    <w:rsid w:val="003C78ED"/>
    <w:rsid w:val="00401983"/>
    <w:rsid w:val="0040373A"/>
    <w:rsid w:val="004042B4"/>
    <w:rsid w:val="00427430"/>
    <w:rsid w:val="00431E2F"/>
    <w:rsid w:val="004360A5"/>
    <w:rsid w:val="004522F4"/>
    <w:rsid w:val="00467220"/>
    <w:rsid w:val="00471B81"/>
    <w:rsid w:val="00474996"/>
    <w:rsid w:val="004C157F"/>
    <w:rsid w:val="004C7677"/>
    <w:rsid w:val="004D2134"/>
    <w:rsid w:val="004D3D5A"/>
    <w:rsid w:val="004D596B"/>
    <w:rsid w:val="004F3D7D"/>
    <w:rsid w:val="00522E6D"/>
    <w:rsid w:val="00527F5E"/>
    <w:rsid w:val="00564C6F"/>
    <w:rsid w:val="005824CA"/>
    <w:rsid w:val="005A037A"/>
    <w:rsid w:val="005C04FF"/>
    <w:rsid w:val="005C693C"/>
    <w:rsid w:val="005E2207"/>
    <w:rsid w:val="005E4342"/>
    <w:rsid w:val="00642BD3"/>
    <w:rsid w:val="00652B03"/>
    <w:rsid w:val="0065647B"/>
    <w:rsid w:val="00667CF1"/>
    <w:rsid w:val="00682F57"/>
    <w:rsid w:val="00690495"/>
    <w:rsid w:val="006B4176"/>
    <w:rsid w:val="006C0C71"/>
    <w:rsid w:val="006C45EA"/>
    <w:rsid w:val="006C472D"/>
    <w:rsid w:val="006E0E2A"/>
    <w:rsid w:val="006F254F"/>
    <w:rsid w:val="006F4CFA"/>
    <w:rsid w:val="00723860"/>
    <w:rsid w:val="00726FEE"/>
    <w:rsid w:val="0073094B"/>
    <w:rsid w:val="0073496B"/>
    <w:rsid w:val="00747F58"/>
    <w:rsid w:val="0075554B"/>
    <w:rsid w:val="00766D44"/>
    <w:rsid w:val="007828AD"/>
    <w:rsid w:val="007909F2"/>
    <w:rsid w:val="007B60B0"/>
    <w:rsid w:val="007B7D00"/>
    <w:rsid w:val="007C2570"/>
    <w:rsid w:val="00800BEA"/>
    <w:rsid w:val="00827AF6"/>
    <w:rsid w:val="008529BA"/>
    <w:rsid w:val="00852F7B"/>
    <w:rsid w:val="0086436B"/>
    <w:rsid w:val="008664A1"/>
    <w:rsid w:val="0087572C"/>
    <w:rsid w:val="00892A85"/>
    <w:rsid w:val="008A08BD"/>
    <w:rsid w:val="008A4BB2"/>
    <w:rsid w:val="008A4FC0"/>
    <w:rsid w:val="008D191B"/>
    <w:rsid w:val="008D1C39"/>
    <w:rsid w:val="008D4390"/>
    <w:rsid w:val="00906715"/>
    <w:rsid w:val="00916F05"/>
    <w:rsid w:val="00930D3D"/>
    <w:rsid w:val="00943264"/>
    <w:rsid w:val="00962965"/>
    <w:rsid w:val="00973127"/>
    <w:rsid w:val="00984FE5"/>
    <w:rsid w:val="009A06D5"/>
    <w:rsid w:val="009C046F"/>
    <w:rsid w:val="009E6A96"/>
    <w:rsid w:val="00A05934"/>
    <w:rsid w:val="00A05C08"/>
    <w:rsid w:val="00A21415"/>
    <w:rsid w:val="00A50A4B"/>
    <w:rsid w:val="00A66324"/>
    <w:rsid w:val="00A87A78"/>
    <w:rsid w:val="00AA4033"/>
    <w:rsid w:val="00AD6217"/>
    <w:rsid w:val="00AE01BF"/>
    <w:rsid w:val="00AE4BAD"/>
    <w:rsid w:val="00AF3F3F"/>
    <w:rsid w:val="00AF4ED8"/>
    <w:rsid w:val="00B152C0"/>
    <w:rsid w:val="00B44E31"/>
    <w:rsid w:val="00B52566"/>
    <w:rsid w:val="00B66280"/>
    <w:rsid w:val="00BB3C99"/>
    <w:rsid w:val="00BF4583"/>
    <w:rsid w:val="00C0750D"/>
    <w:rsid w:val="00C114E9"/>
    <w:rsid w:val="00C21C51"/>
    <w:rsid w:val="00C31632"/>
    <w:rsid w:val="00C636D8"/>
    <w:rsid w:val="00C77B0A"/>
    <w:rsid w:val="00C838BB"/>
    <w:rsid w:val="00C856ED"/>
    <w:rsid w:val="00C9041C"/>
    <w:rsid w:val="00CA270D"/>
    <w:rsid w:val="00CA4F57"/>
    <w:rsid w:val="00CB2160"/>
    <w:rsid w:val="00CC554D"/>
    <w:rsid w:val="00CC7319"/>
    <w:rsid w:val="00CC7BD1"/>
    <w:rsid w:val="00CD18A4"/>
    <w:rsid w:val="00CD658A"/>
    <w:rsid w:val="00CF1420"/>
    <w:rsid w:val="00D01169"/>
    <w:rsid w:val="00D17416"/>
    <w:rsid w:val="00DA123B"/>
    <w:rsid w:val="00DB4446"/>
    <w:rsid w:val="00DD066A"/>
    <w:rsid w:val="00DD4C9A"/>
    <w:rsid w:val="00DD6C73"/>
    <w:rsid w:val="00DE307D"/>
    <w:rsid w:val="00DF722D"/>
    <w:rsid w:val="00E07CA9"/>
    <w:rsid w:val="00E26725"/>
    <w:rsid w:val="00E515AE"/>
    <w:rsid w:val="00E56AD4"/>
    <w:rsid w:val="00E81678"/>
    <w:rsid w:val="00E96A88"/>
    <w:rsid w:val="00EA1E25"/>
    <w:rsid w:val="00EA427A"/>
    <w:rsid w:val="00EC4E03"/>
    <w:rsid w:val="00ED41AD"/>
    <w:rsid w:val="00ED45E5"/>
    <w:rsid w:val="00F00E7D"/>
    <w:rsid w:val="00F74EA8"/>
    <w:rsid w:val="00F94EB5"/>
    <w:rsid w:val="00FA30BD"/>
    <w:rsid w:val="00FA3F92"/>
    <w:rsid w:val="00FA40A0"/>
    <w:rsid w:val="00FC56BC"/>
    <w:rsid w:val="00FD4935"/>
    <w:rsid w:val="00FD60CD"/>
    <w:rsid w:val="00FE16C9"/>
    <w:rsid w:val="00FE33BF"/>
    <w:rsid w:val="00FF2831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E6F341"/>
  <w15:docId w15:val="{3F8408A0-E87C-4F4F-8123-79A3590D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4F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F4CFA"/>
    <w:pPr>
      <w:spacing w:after="0"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4CFA"/>
    <w:pPr>
      <w:spacing w:after="0"/>
      <w:jc w:val="both"/>
      <w:outlineLvl w:val="1"/>
    </w:pPr>
    <w:rPr>
      <w:rFonts w:cs="David"/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F4CFA"/>
    <w:pPr>
      <w:spacing w:after="0"/>
      <w:jc w:val="both"/>
      <w:outlineLvl w:val="2"/>
    </w:pPr>
    <w:rPr>
      <w:rFonts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C4E03"/>
  </w:style>
  <w:style w:type="paragraph" w:styleId="a5">
    <w:name w:val="footer"/>
    <w:basedOn w:val="a"/>
    <w:link w:val="a6"/>
    <w:uiPriority w:val="99"/>
    <w:unhideWhenUsed/>
    <w:rsid w:val="00EC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4E03"/>
  </w:style>
  <w:style w:type="paragraph" w:styleId="a7">
    <w:name w:val="Balloon Text"/>
    <w:basedOn w:val="a"/>
    <w:link w:val="a8"/>
    <w:uiPriority w:val="99"/>
    <w:semiHidden/>
    <w:unhideWhenUsed/>
    <w:rsid w:val="000A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A74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2B4"/>
    <w:pPr>
      <w:ind w:left="720"/>
      <w:contextualSpacing/>
    </w:pPr>
  </w:style>
  <w:style w:type="paragraph" w:customStyle="1" w:styleId="NormalPar">
    <w:name w:val="NormalPar"/>
    <w:rsid w:val="00113343"/>
    <w:pPr>
      <w:autoSpaceDE w:val="0"/>
      <w:autoSpaceDN w:val="0"/>
      <w:bidi/>
      <w:adjustRightInd w:val="0"/>
      <w:spacing w:after="0" w:line="240" w:lineRule="auto"/>
      <w:jc w:val="right"/>
    </w:pPr>
    <w:rPr>
      <w:rFonts w:ascii="Courier New" w:hAnsi="Courier New" w:cs="David"/>
      <w:sz w:val="24"/>
      <w:szCs w:val="24"/>
    </w:rPr>
  </w:style>
  <w:style w:type="table" w:styleId="aa">
    <w:name w:val="Table Grid"/>
    <w:basedOn w:val="a1"/>
    <w:uiPriority w:val="59"/>
    <w:rsid w:val="00FA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כותרת 1 תו"/>
    <w:basedOn w:val="a0"/>
    <w:link w:val="1"/>
    <w:uiPriority w:val="9"/>
    <w:rsid w:val="006F4CFA"/>
    <w:rPr>
      <w:rFonts w:cs="David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6F4CFA"/>
    <w:rPr>
      <w:rFonts w:cs="David"/>
      <w:b/>
      <w:bCs/>
      <w:sz w:val="24"/>
      <w:szCs w:val="24"/>
      <w:u w:val="single"/>
    </w:rPr>
  </w:style>
  <w:style w:type="character" w:customStyle="1" w:styleId="30">
    <w:name w:val="כותרת 3 תו"/>
    <w:basedOn w:val="a0"/>
    <w:link w:val="3"/>
    <w:uiPriority w:val="9"/>
    <w:rsid w:val="006F4CFA"/>
    <w:rPr>
      <w:rFonts w:cs="David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hila.BAQAMUNI\Local%20Settings\Temporary%20Internet%20Files\Content.Outlook\P62JUTAX\&#1500;&#1493;&#1490;&#1493;%20&#1506;&#1497;&#1512;&#1497;&#1497;&#1492;%20&#1499;&#1500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6CA988-6469-4F25-A8FA-78EFF19B4712}"/>
</file>

<file path=customXml/itemProps2.xml><?xml version="1.0" encoding="utf-8"?>
<ds:datastoreItem xmlns:ds="http://schemas.openxmlformats.org/officeDocument/2006/customXml" ds:itemID="{4BA5E59D-ECCD-44A1-97C4-2219273BCDB7}"/>
</file>

<file path=customXml/itemProps3.xml><?xml version="1.0" encoding="utf-8"?>
<ds:datastoreItem xmlns:ds="http://schemas.openxmlformats.org/officeDocument/2006/customXml" ds:itemID="{8C4C1C8F-B2CB-4C8E-A614-BD2D9C78E54C}"/>
</file>

<file path=customXml/itemProps4.xml><?xml version="1.0" encoding="utf-8"?>
<ds:datastoreItem xmlns:ds="http://schemas.openxmlformats.org/officeDocument/2006/customXml" ds:itemID="{8DE1057C-ABDB-4228-8C6E-C29ED5A170B7}"/>
</file>

<file path=docProps/app.xml><?xml version="1.0" encoding="utf-8"?>
<Properties xmlns="http://schemas.openxmlformats.org/officeDocument/2006/extended-properties" xmlns:vt="http://schemas.openxmlformats.org/officeDocument/2006/docPropsVTypes">
  <Template>לוגו עירייה כללי</Template>
  <TotalTime>18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ישיבת ועדת התקשרויות - 2018</dc:title>
  <dc:creator>sohila</dc:creator>
  <cp:lastModifiedBy>Ester</cp:lastModifiedBy>
  <cp:revision>3</cp:revision>
  <cp:lastPrinted>2018-03-15T08:33:00Z</cp:lastPrinted>
  <dcterms:created xsi:type="dcterms:W3CDTF">2018-04-14T13:54:00Z</dcterms:created>
  <dcterms:modified xsi:type="dcterms:W3CDTF">2018-04-14T14:14:00Z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