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024" w:rsidRPr="00670024" w:rsidRDefault="00670024" w:rsidP="00670024">
      <w:pPr>
        <w:pStyle w:val="1"/>
        <w:rPr>
          <w:color w:val="000000" w:themeColor="text1"/>
        </w:rPr>
      </w:pPr>
      <w:r w:rsidRPr="00670024">
        <w:rPr>
          <w:color w:val="000000" w:themeColor="text1"/>
          <w:rtl/>
        </w:rPr>
        <w:t xml:space="preserve">חוק עזר לבאקה אל </w:t>
      </w:r>
      <w:proofErr w:type="spellStart"/>
      <w:r w:rsidRPr="00670024">
        <w:rPr>
          <w:color w:val="000000" w:themeColor="text1"/>
          <w:rtl/>
        </w:rPr>
        <w:t>גרבייה</w:t>
      </w:r>
      <w:proofErr w:type="spellEnd"/>
      <w:r w:rsidRPr="00670024">
        <w:rPr>
          <w:color w:val="000000" w:themeColor="text1"/>
          <w:rtl/>
        </w:rPr>
        <w:t xml:space="preserve"> (הדברת מזיקים), </w:t>
      </w:r>
      <w:proofErr w:type="spellStart"/>
      <w:r w:rsidRPr="00670024">
        <w:rPr>
          <w:color w:val="000000" w:themeColor="text1"/>
          <w:rtl/>
        </w:rPr>
        <w:t>התשנ"ב</w:t>
      </w:r>
      <w:proofErr w:type="spellEnd"/>
      <w:r w:rsidR="00E377DB">
        <w:rPr>
          <w:rFonts w:hint="cs"/>
          <w:color w:val="000000" w:themeColor="text1"/>
          <w:rtl/>
        </w:rPr>
        <w:t xml:space="preserve"> - 1992</w:t>
      </w:r>
    </w:p>
    <w:p w:rsidR="00670024" w:rsidRPr="00670024" w:rsidRDefault="00670024" w:rsidP="00E377DB">
      <w:pPr>
        <w:pStyle w:val="ad"/>
        <w:ind w:firstLine="0"/>
        <w:rPr>
          <w:color w:val="000000" w:themeColor="text1"/>
        </w:rPr>
      </w:pPr>
      <w:bookmarkStart w:id="0" w:name="_GoBack"/>
      <w:bookmarkEnd w:id="0"/>
      <w:r w:rsidRPr="00670024">
        <w:rPr>
          <w:color w:val="000000" w:themeColor="text1"/>
          <w:rtl/>
        </w:rPr>
        <w:t>בתוקף סמכותה לפי סעיפים 22, 23, 24 ו25- לפקודת המועצות המקומיות</w:t>
      </w:r>
      <w:r w:rsidR="00E377DB">
        <w:rPr>
          <w:rStyle w:val="af2"/>
          <w:color w:val="000000" w:themeColor="text1"/>
          <w:rtl/>
        </w:rPr>
        <w:footnoteReference w:id="1"/>
      </w:r>
      <w:r w:rsidRPr="00670024">
        <w:rPr>
          <w:color w:val="000000" w:themeColor="text1"/>
          <w:rtl/>
        </w:rPr>
        <w:t>, מתקינה המועצה המקומית באקה אל-</w:t>
      </w:r>
      <w:proofErr w:type="spellStart"/>
      <w:r w:rsidRPr="00670024">
        <w:rPr>
          <w:color w:val="000000" w:themeColor="text1"/>
          <w:rtl/>
        </w:rPr>
        <w:t>גרבייה</w:t>
      </w:r>
      <w:proofErr w:type="spellEnd"/>
      <w:r w:rsidRPr="00670024">
        <w:rPr>
          <w:color w:val="000000" w:themeColor="text1"/>
          <w:rtl/>
        </w:rPr>
        <w:t xml:space="preserve"> חוק עזר זה:</w:t>
      </w:r>
    </w:p>
    <w:p w:rsidR="00670024" w:rsidRPr="00D00284" w:rsidRDefault="00670024" w:rsidP="00D00284">
      <w:pPr>
        <w:pStyle w:val="2"/>
      </w:pPr>
      <w:r w:rsidRPr="00D00284">
        <w:rPr>
          <w:rtl/>
        </w:rPr>
        <w:t>הגדרות</w:t>
      </w:r>
    </w:p>
    <w:p w:rsidR="00670024" w:rsidRPr="00670024" w:rsidRDefault="00CE4DA7" w:rsidP="00CE4DA7">
      <w:pPr>
        <w:pStyle w:val="af"/>
        <w:ind w:left="284" w:hanging="284"/>
        <w:rPr>
          <w:color w:val="000000" w:themeColor="text1"/>
        </w:rPr>
      </w:pPr>
      <w:r>
        <w:rPr>
          <w:rFonts w:hint="cs"/>
          <w:b/>
          <w:color w:val="000000" w:themeColor="text1"/>
          <w:rtl/>
        </w:rPr>
        <w:t>1.</w:t>
      </w:r>
      <w:r>
        <w:rPr>
          <w:b/>
          <w:color w:val="000000" w:themeColor="text1"/>
          <w:rtl/>
        </w:rPr>
        <w:tab/>
      </w:r>
      <w:r w:rsidR="00670024" w:rsidRPr="00670024">
        <w:rPr>
          <w:bCs/>
          <w:color w:val="000000" w:themeColor="text1"/>
          <w:rtl/>
        </w:rPr>
        <w:tab/>
      </w:r>
      <w:r w:rsidR="00670024" w:rsidRPr="00670024">
        <w:rPr>
          <w:color w:val="000000" w:themeColor="text1"/>
          <w:rtl/>
        </w:rPr>
        <w:t xml:space="preserve">בחוק עזר זה </w:t>
      </w:r>
      <w:r w:rsidR="00670024" w:rsidRPr="00670024">
        <w:rPr>
          <w:color w:val="000000" w:themeColor="text1"/>
        </w:rPr>
        <w:t>-</w:t>
      </w:r>
    </w:p>
    <w:p w:rsidR="00670024" w:rsidRPr="00670024" w:rsidRDefault="00670024" w:rsidP="00670024">
      <w:pPr>
        <w:pStyle w:val="ac"/>
        <w:rPr>
          <w:color w:val="000000" w:themeColor="text1"/>
        </w:rPr>
      </w:pPr>
      <w:r w:rsidRPr="00670024">
        <w:rPr>
          <w:bCs/>
          <w:color w:val="000000" w:themeColor="text1"/>
          <w:rtl/>
        </w:rPr>
        <w:t xml:space="preserve">"בעל" </w:t>
      </w:r>
      <w:r w:rsidRPr="00670024">
        <w:rPr>
          <w:bCs/>
          <w:color w:val="000000" w:themeColor="text1"/>
        </w:rPr>
        <w:t xml:space="preserve"> -</w:t>
      </w:r>
      <w:r w:rsidRPr="00670024">
        <w:rPr>
          <w:color w:val="000000" w:themeColor="text1"/>
          <w:rtl/>
        </w:rPr>
        <w:t>אדם המקבל, או הזכאי לקבל, הכנסה מנכס או שהיה מקבלה אילו היה הנכס נותן הכנסה, בין בזכותו הוא ובין כמורשה, כנאמן, או כבא-כוח, בין שהוא הבעל הרשום של הנכס ובין שאיננו הבעל הרשום, לרבות שוכר או שוכר משנה, ששכר את הנכס לתקופה העולה על שלוש שנים;</w:t>
      </w:r>
    </w:p>
    <w:p w:rsidR="00670024" w:rsidRPr="00670024" w:rsidRDefault="00670024" w:rsidP="00670024">
      <w:pPr>
        <w:pStyle w:val="ac"/>
        <w:rPr>
          <w:color w:val="000000" w:themeColor="text1"/>
        </w:rPr>
      </w:pPr>
      <w:r w:rsidRPr="00670024">
        <w:rPr>
          <w:bCs/>
          <w:color w:val="000000" w:themeColor="text1"/>
          <w:rtl/>
        </w:rPr>
        <w:t xml:space="preserve">"מחזיק" </w:t>
      </w:r>
      <w:r w:rsidRPr="00670024">
        <w:rPr>
          <w:bCs/>
          <w:color w:val="000000" w:themeColor="text1"/>
        </w:rPr>
        <w:t xml:space="preserve"> -</w:t>
      </w:r>
      <w:r w:rsidRPr="00670024">
        <w:rPr>
          <w:color w:val="000000" w:themeColor="text1"/>
          <w:rtl/>
        </w:rPr>
        <w:t>אדם המחזיק למעשה בנכס כבעל או כשוכר או כבר-רשות, או כבעל היתר או הרשאה, או כנאמן או באופן אחר, למעט אדם הגר בבית מלון או בפנסיון;</w:t>
      </w:r>
    </w:p>
    <w:p w:rsidR="00670024" w:rsidRPr="00670024" w:rsidRDefault="00670024" w:rsidP="00670024">
      <w:pPr>
        <w:pStyle w:val="ac"/>
        <w:rPr>
          <w:color w:val="000000" w:themeColor="text1"/>
        </w:rPr>
      </w:pPr>
      <w:r w:rsidRPr="00670024">
        <w:rPr>
          <w:bCs/>
          <w:color w:val="000000" w:themeColor="text1"/>
          <w:rtl/>
        </w:rPr>
        <w:t xml:space="preserve">"מפקח" </w:t>
      </w:r>
      <w:r w:rsidRPr="00670024">
        <w:rPr>
          <w:bCs/>
          <w:color w:val="000000" w:themeColor="text1"/>
        </w:rPr>
        <w:t xml:space="preserve"> -</w:t>
      </w:r>
      <w:r w:rsidRPr="00670024">
        <w:rPr>
          <w:color w:val="000000" w:themeColor="text1"/>
          <w:rtl/>
        </w:rPr>
        <w:t xml:space="preserve">מנהל מחלקת התברואה של המועצה או עובד אחר של המועצה שראש המועצה מינהו למפקח </w:t>
      </w:r>
      <w:proofErr w:type="spellStart"/>
      <w:r w:rsidRPr="00670024">
        <w:rPr>
          <w:color w:val="000000" w:themeColor="text1"/>
          <w:rtl/>
        </w:rPr>
        <w:t>לענין</w:t>
      </w:r>
      <w:proofErr w:type="spellEnd"/>
      <w:r w:rsidRPr="00670024">
        <w:rPr>
          <w:color w:val="000000" w:themeColor="text1"/>
          <w:rtl/>
        </w:rPr>
        <w:t xml:space="preserve"> חוק עזר זה;</w:t>
      </w:r>
    </w:p>
    <w:p w:rsidR="00670024" w:rsidRPr="00670024" w:rsidRDefault="00670024" w:rsidP="00670024">
      <w:pPr>
        <w:pStyle w:val="ac"/>
        <w:rPr>
          <w:color w:val="000000" w:themeColor="text1"/>
        </w:rPr>
      </w:pPr>
      <w:r w:rsidRPr="00670024">
        <w:rPr>
          <w:bCs/>
          <w:color w:val="000000" w:themeColor="text1"/>
          <w:rtl/>
        </w:rPr>
        <w:t xml:space="preserve">"מזיק" </w:t>
      </w:r>
      <w:r w:rsidRPr="00670024">
        <w:rPr>
          <w:bCs/>
          <w:color w:val="000000" w:themeColor="text1"/>
        </w:rPr>
        <w:t xml:space="preserve"> -</w:t>
      </w:r>
      <w:r w:rsidRPr="00670024">
        <w:rPr>
          <w:color w:val="000000" w:themeColor="text1"/>
          <w:rtl/>
        </w:rPr>
        <w:t>כל אחד מאלה: יתושים, זבובים למיניהם, חלזונות, עשבי-בר, טוואי התהלוכה של האורן, זבוב הים התיכון, נברנים, קרציות, לרבות קרציות הבקר, מכרסמים, נמלים, חולדות, לרבות עכברושים ועכברים;</w:t>
      </w:r>
    </w:p>
    <w:p w:rsidR="00670024" w:rsidRPr="00670024" w:rsidRDefault="00670024" w:rsidP="00670024">
      <w:pPr>
        <w:pStyle w:val="ac"/>
        <w:rPr>
          <w:color w:val="000000" w:themeColor="text1"/>
        </w:rPr>
      </w:pPr>
      <w:r w:rsidRPr="00670024">
        <w:rPr>
          <w:bCs/>
          <w:color w:val="000000" w:themeColor="text1"/>
          <w:rtl/>
        </w:rPr>
        <w:t xml:space="preserve">"מפגע" </w:t>
      </w:r>
      <w:r w:rsidRPr="00670024">
        <w:rPr>
          <w:bCs/>
          <w:color w:val="000000" w:themeColor="text1"/>
        </w:rPr>
        <w:t xml:space="preserve"> -</w:t>
      </w:r>
      <w:r w:rsidRPr="00670024">
        <w:rPr>
          <w:color w:val="000000" w:themeColor="text1"/>
          <w:rtl/>
        </w:rPr>
        <w:t>הימצאות מזיקים בתחום המועצה;</w:t>
      </w:r>
    </w:p>
    <w:p w:rsidR="00670024" w:rsidRPr="00670024" w:rsidRDefault="00670024" w:rsidP="00670024">
      <w:pPr>
        <w:pStyle w:val="ac"/>
        <w:rPr>
          <w:color w:val="000000" w:themeColor="text1"/>
        </w:rPr>
      </w:pPr>
      <w:r w:rsidRPr="00670024">
        <w:rPr>
          <w:bCs/>
          <w:color w:val="000000" w:themeColor="text1"/>
          <w:rtl/>
        </w:rPr>
        <w:t xml:space="preserve">"מדביר מוסמך" </w:t>
      </w:r>
      <w:r w:rsidRPr="00670024">
        <w:rPr>
          <w:bCs/>
          <w:color w:val="000000" w:themeColor="text1"/>
        </w:rPr>
        <w:t xml:space="preserve"> -</w:t>
      </w:r>
      <w:r w:rsidRPr="00670024">
        <w:rPr>
          <w:color w:val="000000" w:themeColor="text1"/>
          <w:rtl/>
        </w:rPr>
        <w:t xml:space="preserve">מי שבידו </w:t>
      </w:r>
      <w:proofErr w:type="spellStart"/>
      <w:r w:rsidRPr="00670024">
        <w:rPr>
          <w:color w:val="000000" w:themeColor="text1"/>
          <w:rtl/>
        </w:rPr>
        <w:t>רשיון</w:t>
      </w:r>
      <w:proofErr w:type="spellEnd"/>
      <w:r w:rsidRPr="00670024">
        <w:rPr>
          <w:color w:val="000000" w:themeColor="text1"/>
          <w:rtl/>
        </w:rPr>
        <w:t xml:space="preserve"> לפי חוק רישוי עסקים, </w:t>
      </w:r>
      <w:proofErr w:type="spellStart"/>
      <w:r w:rsidRPr="00670024">
        <w:rPr>
          <w:color w:val="000000" w:themeColor="text1"/>
          <w:rtl/>
        </w:rPr>
        <w:t>התשכ"ח</w:t>
      </w:r>
      <w:proofErr w:type="spellEnd"/>
      <w:r w:rsidR="00E377DB">
        <w:rPr>
          <w:rFonts w:hint="cs"/>
          <w:color w:val="000000" w:themeColor="text1"/>
          <w:rtl/>
        </w:rPr>
        <w:t xml:space="preserve"> </w:t>
      </w:r>
      <w:r w:rsidR="00E377DB">
        <w:rPr>
          <w:color w:val="000000" w:themeColor="text1"/>
          <w:rtl/>
        </w:rPr>
        <w:t>–</w:t>
      </w:r>
      <w:r w:rsidR="00E377DB">
        <w:rPr>
          <w:rFonts w:hint="cs"/>
          <w:color w:val="000000" w:themeColor="text1"/>
          <w:rtl/>
        </w:rPr>
        <w:t xml:space="preserve"> 1968</w:t>
      </w:r>
      <w:r w:rsidR="00E377DB">
        <w:rPr>
          <w:rStyle w:val="af2"/>
          <w:color w:val="000000" w:themeColor="text1"/>
          <w:rtl/>
        </w:rPr>
        <w:footnoteReference w:id="2"/>
      </w:r>
      <w:r w:rsidR="00E377DB">
        <w:rPr>
          <w:rFonts w:hint="cs"/>
          <w:color w:val="000000" w:themeColor="text1"/>
          <w:rtl/>
        </w:rPr>
        <w:t xml:space="preserve">, </w:t>
      </w:r>
      <w:r w:rsidRPr="00670024">
        <w:rPr>
          <w:color w:val="000000" w:themeColor="text1"/>
          <w:rtl/>
        </w:rPr>
        <w:t xml:space="preserve">ותקנות רישוי עסקים </w:t>
      </w:r>
      <w:r w:rsidRPr="00670024">
        <w:rPr>
          <w:color w:val="000000" w:themeColor="text1"/>
        </w:rPr>
        <w:t>)</w:t>
      </w:r>
      <w:r w:rsidRPr="00670024">
        <w:rPr>
          <w:color w:val="000000" w:themeColor="text1"/>
          <w:rtl/>
        </w:rPr>
        <w:t>הדברת מזיקים</w:t>
      </w:r>
      <w:r w:rsidRPr="00670024">
        <w:rPr>
          <w:color w:val="000000" w:themeColor="text1"/>
        </w:rPr>
        <w:t>(</w:t>
      </w:r>
      <w:r w:rsidRPr="00670024">
        <w:rPr>
          <w:color w:val="000000" w:themeColor="text1"/>
          <w:rtl/>
        </w:rPr>
        <w:t xml:space="preserve">, </w:t>
      </w:r>
      <w:proofErr w:type="spellStart"/>
      <w:r w:rsidRPr="00670024">
        <w:rPr>
          <w:color w:val="000000" w:themeColor="text1"/>
          <w:rtl/>
        </w:rPr>
        <w:t>התשל"</w:t>
      </w:r>
      <w:r w:rsidR="00E377DB">
        <w:rPr>
          <w:rFonts w:hint="cs"/>
          <w:color w:val="000000" w:themeColor="text1"/>
          <w:rtl/>
        </w:rPr>
        <w:t>ה</w:t>
      </w:r>
      <w:proofErr w:type="spellEnd"/>
      <w:r w:rsidR="00E377DB" w:rsidRPr="00670024">
        <w:rPr>
          <w:color w:val="000000" w:themeColor="text1"/>
          <w:rtl/>
        </w:rPr>
        <w:t xml:space="preserve"> </w:t>
      </w:r>
      <w:r w:rsidRPr="00670024">
        <w:rPr>
          <w:color w:val="000000" w:themeColor="text1"/>
          <w:rtl/>
        </w:rPr>
        <w:t>-</w:t>
      </w:r>
      <w:r w:rsidR="00E377DB">
        <w:rPr>
          <w:rFonts w:hint="cs"/>
          <w:color w:val="000000" w:themeColor="text1"/>
          <w:rtl/>
        </w:rPr>
        <w:t xml:space="preserve"> 1975</w:t>
      </w:r>
      <w:r w:rsidR="00E377DB">
        <w:rPr>
          <w:rStyle w:val="af2"/>
          <w:color w:val="000000" w:themeColor="text1"/>
          <w:rtl/>
        </w:rPr>
        <w:footnoteReference w:id="3"/>
      </w:r>
      <w:r w:rsidRPr="00670024">
        <w:rPr>
          <w:color w:val="000000" w:themeColor="text1"/>
          <w:rtl/>
        </w:rPr>
        <w:t>, המתיר לו להשמיד מזיקים;</w:t>
      </w:r>
    </w:p>
    <w:p w:rsidR="00670024" w:rsidRPr="00670024" w:rsidRDefault="00670024" w:rsidP="00670024">
      <w:pPr>
        <w:pStyle w:val="ac"/>
        <w:rPr>
          <w:color w:val="000000" w:themeColor="text1"/>
        </w:rPr>
      </w:pPr>
      <w:r w:rsidRPr="00670024">
        <w:rPr>
          <w:bCs/>
          <w:color w:val="000000" w:themeColor="text1"/>
          <w:rtl/>
        </w:rPr>
        <w:t xml:space="preserve">"מועצה" </w:t>
      </w:r>
      <w:r w:rsidRPr="00670024">
        <w:rPr>
          <w:bCs/>
          <w:color w:val="000000" w:themeColor="text1"/>
        </w:rPr>
        <w:t xml:space="preserve"> -</w:t>
      </w:r>
      <w:r w:rsidRPr="00670024">
        <w:rPr>
          <w:color w:val="000000" w:themeColor="text1"/>
          <w:rtl/>
        </w:rPr>
        <w:t>המועצה המקומית באקה אל-</w:t>
      </w:r>
      <w:proofErr w:type="spellStart"/>
      <w:r w:rsidRPr="00670024">
        <w:rPr>
          <w:color w:val="000000" w:themeColor="text1"/>
          <w:rtl/>
        </w:rPr>
        <w:t>גרבייה</w:t>
      </w:r>
      <w:proofErr w:type="spellEnd"/>
      <w:r w:rsidRPr="00670024">
        <w:rPr>
          <w:color w:val="000000" w:themeColor="text1"/>
          <w:rtl/>
        </w:rPr>
        <w:t>;</w:t>
      </w:r>
    </w:p>
    <w:p w:rsidR="00670024" w:rsidRPr="00670024" w:rsidRDefault="00670024" w:rsidP="00670024">
      <w:pPr>
        <w:pStyle w:val="ac"/>
        <w:rPr>
          <w:color w:val="000000" w:themeColor="text1"/>
        </w:rPr>
      </w:pPr>
      <w:r w:rsidRPr="00670024">
        <w:rPr>
          <w:bCs/>
          <w:color w:val="000000" w:themeColor="text1"/>
          <w:rtl/>
        </w:rPr>
        <w:t xml:space="preserve">"ראש המועצה" </w:t>
      </w:r>
      <w:r w:rsidRPr="00670024">
        <w:rPr>
          <w:bCs/>
          <w:color w:val="000000" w:themeColor="text1"/>
        </w:rPr>
        <w:t xml:space="preserve"> -</w:t>
      </w:r>
      <w:r w:rsidRPr="00670024">
        <w:rPr>
          <w:color w:val="000000" w:themeColor="text1"/>
          <w:rtl/>
        </w:rPr>
        <w:t>לרבות אדם שראש המועצה העביר אליו בכתב את סמכויותיו לפי חוק עזר זה, כולן או מקצתן;</w:t>
      </w:r>
    </w:p>
    <w:p w:rsidR="00670024" w:rsidRPr="00670024" w:rsidRDefault="00670024" w:rsidP="00670024">
      <w:pPr>
        <w:pStyle w:val="ac"/>
        <w:rPr>
          <w:color w:val="000000" w:themeColor="text1"/>
        </w:rPr>
      </w:pPr>
      <w:r w:rsidRPr="00670024">
        <w:rPr>
          <w:bCs/>
          <w:color w:val="000000" w:themeColor="text1"/>
          <w:rtl/>
        </w:rPr>
        <w:t xml:space="preserve">"נכס" </w:t>
      </w:r>
      <w:r w:rsidRPr="00670024">
        <w:rPr>
          <w:bCs/>
          <w:color w:val="000000" w:themeColor="text1"/>
        </w:rPr>
        <w:t xml:space="preserve"> -</w:t>
      </w:r>
      <w:r w:rsidRPr="00670024">
        <w:rPr>
          <w:color w:val="000000" w:themeColor="text1"/>
          <w:rtl/>
        </w:rPr>
        <w:t xml:space="preserve">כמשמעותו בצו המועצות המקומיות </w:t>
      </w:r>
      <w:r w:rsidRPr="00670024">
        <w:rPr>
          <w:color w:val="000000" w:themeColor="text1"/>
        </w:rPr>
        <w:t>)</w:t>
      </w:r>
      <w:r w:rsidRPr="00670024">
        <w:rPr>
          <w:color w:val="000000" w:themeColor="text1"/>
          <w:rtl/>
        </w:rPr>
        <w:t>א</w:t>
      </w:r>
      <w:r w:rsidRPr="00670024">
        <w:rPr>
          <w:color w:val="000000" w:themeColor="text1"/>
        </w:rPr>
        <w:t>(</w:t>
      </w:r>
      <w:r w:rsidRPr="00670024">
        <w:rPr>
          <w:color w:val="000000" w:themeColor="text1"/>
          <w:rtl/>
        </w:rPr>
        <w:t xml:space="preserve">, </w:t>
      </w:r>
      <w:proofErr w:type="spellStart"/>
      <w:r w:rsidRPr="00670024">
        <w:rPr>
          <w:color w:val="000000" w:themeColor="text1"/>
          <w:rtl/>
        </w:rPr>
        <w:t>התשי"א</w:t>
      </w:r>
      <w:proofErr w:type="spellEnd"/>
      <w:r w:rsidR="00E377DB">
        <w:rPr>
          <w:rFonts w:hint="cs"/>
          <w:color w:val="000000" w:themeColor="text1"/>
          <w:rtl/>
        </w:rPr>
        <w:t xml:space="preserve"> </w:t>
      </w:r>
      <w:r w:rsidR="00E377DB">
        <w:rPr>
          <w:color w:val="000000" w:themeColor="text1"/>
          <w:rtl/>
        </w:rPr>
        <w:t>–</w:t>
      </w:r>
      <w:r w:rsidR="00E377DB">
        <w:rPr>
          <w:rFonts w:hint="cs"/>
          <w:color w:val="000000" w:themeColor="text1"/>
          <w:rtl/>
        </w:rPr>
        <w:t xml:space="preserve"> 1950</w:t>
      </w:r>
      <w:r w:rsidR="00E377DB">
        <w:rPr>
          <w:rStyle w:val="af2"/>
          <w:color w:val="000000" w:themeColor="text1"/>
          <w:rtl/>
        </w:rPr>
        <w:footnoteReference w:id="4"/>
      </w:r>
      <w:r w:rsidR="00E377DB">
        <w:rPr>
          <w:rFonts w:hint="cs"/>
          <w:color w:val="000000" w:themeColor="text1"/>
          <w:rtl/>
        </w:rPr>
        <w:t>.</w:t>
      </w:r>
    </w:p>
    <w:p w:rsidR="00670024" w:rsidRPr="00670024" w:rsidRDefault="00670024" w:rsidP="00D00284">
      <w:pPr>
        <w:pStyle w:val="2"/>
      </w:pPr>
      <w:r w:rsidRPr="00670024">
        <w:rPr>
          <w:rtl/>
        </w:rPr>
        <w:t>חובה להדביר מזיקים</w:t>
      </w:r>
    </w:p>
    <w:p w:rsidR="00670024" w:rsidRPr="00670024" w:rsidRDefault="00CE4DA7" w:rsidP="00CE4DA7">
      <w:pPr>
        <w:pStyle w:val="af"/>
        <w:ind w:left="284" w:hanging="284"/>
        <w:rPr>
          <w:color w:val="000000" w:themeColor="text1"/>
        </w:rPr>
      </w:pPr>
      <w:r w:rsidRPr="00CE4DA7">
        <w:rPr>
          <w:rFonts w:hint="cs"/>
          <w:b/>
          <w:color w:val="000000" w:themeColor="text1"/>
          <w:rtl/>
        </w:rPr>
        <w:t>2.</w:t>
      </w:r>
      <w:r>
        <w:rPr>
          <w:bCs/>
          <w:color w:val="000000" w:themeColor="text1"/>
          <w:rtl/>
        </w:rPr>
        <w:tab/>
      </w:r>
      <w:r w:rsidR="00670024" w:rsidRPr="00670024">
        <w:rPr>
          <w:color w:val="000000" w:themeColor="text1"/>
          <w:rtl/>
        </w:rPr>
        <w:t>בעל נכס או המחזיק בו חייב להדביר את המזיקים שבנכסו.</w:t>
      </w:r>
    </w:p>
    <w:p w:rsidR="00670024" w:rsidRPr="00670024" w:rsidRDefault="00670024" w:rsidP="00D00284">
      <w:pPr>
        <w:pStyle w:val="2"/>
      </w:pPr>
      <w:r w:rsidRPr="00670024">
        <w:rPr>
          <w:rtl/>
        </w:rPr>
        <w:t>הוראות להדברת מזיקים</w:t>
      </w:r>
    </w:p>
    <w:p w:rsidR="00CE4DA7" w:rsidRDefault="00670024" w:rsidP="00670024">
      <w:pPr>
        <w:pStyle w:val="af"/>
        <w:rPr>
          <w:bCs/>
          <w:color w:val="000000" w:themeColor="text1"/>
          <w:rtl/>
        </w:rPr>
      </w:pPr>
      <w:r w:rsidRPr="00CE4DA7">
        <w:rPr>
          <w:b/>
          <w:color w:val="000000" w:themeColor="text1"/>
          <w:rtl/>
        </w:rPr>
        <w:t>3.</w:t>
      </w:r>
    </w:p>
    <w:p w:rsidR="00CE4DA7" w:rsidRDefault="00670024" w:rsidP="00CE4DA7">
      <w:pPr>
        <w:pStyle w:val="af"/>
        <w:numPr>
          <w:ilvl w:val="0"/>
          <w:numId w:val="2"/>
        </w:numPr>
        <w:tabs>
          <w:tab w:val="clear" w:pos="624"/>
          <w:tab w:val="clear" w:pos="651"/>
        </w:tabs>
        <w:ind w:left="521"/>
        <w:rPr>
          <w:color w:val="000000" w:themeColor="text1"/>
        </w:rPr>
      </w:pPr>
      <w:r w:rsidRPr="00670024">
        <w:rPr>
          <w:color w:val="000000" w:themeColor="text1"/>
          <w:rtl/>
        </w:rPr>
        <w:t xml:space="preserve">ראש המועצה או המפקח רשאים לדרוש בהודעה בכתב מאת אדם שעבר על הוראות סעיף 2 להדביר את המזיקים שבנכסו בתכשירי הדברה שמשרד הבריאות אישר לשימוש ביתי, ולבצע את העבודות הדרושות לשם כך, בהתאם לפרטים ולתנאים הקבועים בהודעה: אולם לא ידביר אדם מזיקים בחומרים רעילים אלא באמצעות מדביר מוסמך; לגבי חולדות, לרבות עכברושים ועכברים,  תיעשה ההדברה באמצעות מדביר </w:t>
      </w:r>
      <w:proofErr w:type="spellStart"/>
      <w:r w:rsidRPr="00670024">
        <w:rPr>
          <w:color w:val="000000" w:themeColor="text1"/>
          <w:rtl/>
        </w:rPr>
        <w:t>שברשיונו</w:t>
      </w:r>
      <w:proofErr w:type="spellEnd"/>
      <w:r w:rsidRPr="00670024">
        <w:rPr>
          <w:color w:val="000000" w:themeColor="text1"/>
          <w:rtl/>
        </w:rPr>
        <w:t xml:space="preserve"> נאמר במפורש כי מותר לו להשמיד מזיקים אלה.</w:t>
      </w:r>
    </w:p>
    <w:p w:rsidR="00CE4DA7" w:rsidRDefault="00670024" w:rsidP="00CE4DA7">
      <w:pPr>
        <w:pStyle w:val="af"/>
        <w:numPr>
          <w:ilvl w:val="0"/>
          <w:numId w:val="2"/>
        </w:numPr>
        <w:tabs>
          <w:tab w:val="clear" w:pos="624"/>
          <w:tab w:val="clear" w:pos="651"/>
        </w:tabs>
        <w:ind w:left="521"/>
        <w:rPr>
          <w:color w:val="000000" w:themeColor="text1"/>
        </w:rPr>
      </w:pPr>
      <w:r w:rsidRPr="00CE4DA7">
        <w:rPr>
          <w:color w:val="000000" w:themeColor="text1"/>
          <w:rtl/>
        </w:rPr>
        <w:t xml:space="preserve">ההודעה תכלול את מועד ביצוע ההדברה ואת העבודות, כאמור בסעיף קטן </w:t>
      </w:r>
      <w:r w:rsidRPr="00CE4DA7">
        <w:rPr>
          <w:color w:val="000000" w:themeColor="text1"/>
        </w:rPr>
        <w:t>)</w:t>
      </w:r>
      <w:r w:rsidRPr="00CE4DA7">
        <w:rPr>
          <w:color w:val="000000" w:themeColor="text1"/>
          <w:rtl/>
        </w:rPr>
        <w:t>א</w:t>
      </w:r>
      <w:r w:rsidRPr="00CE4DA7">
        <w:rPr>
          <w:color w:val="000000" w:themeColor="text1"/>
        </w:rPr>
        <w:t>(</w:t>
      </w:r>
      <w:r w:rsidRPr="00CE4DA7">
        <w:rPr>
          <w:color w:val="000000" w:themeColor="text1"/>
          <w:rtl/>
        </w:rPr>
        <w:t>.</w:t>
      </w:r>
    </w:p>
    <w:p w:rsidR="00670024" w:rsidRPr="00CE4DA7" w:rsidRDefault="00670024" w:rsidP="00CE4DA7">
      <w:pPr>
        <w:pStyle w:val="af"/>
        <w:numPr>
          <w:ilvl w:val="0"/>
          <w:numId w:val="2"/>
        </w:numPr>
        <w:tabs>
          <w:tab w:val="clear" w:pos="624"/>
          <w:tab w:val="clear" w:pos="651"/>
        </w:tabs>
        <w:ind w:left="521"/>
        <w:rPr>
          <w:color w:val="000000" w:themeColor="text1"/>
        </w:rPr>
      </w:pPr>
      <w:r w:rsidRPr="00CE4DA7">
        <w:rPr>
          <w:color w:val="000000" w:themeColor="text1"/>
          <w:rtl/>
        </w:rPr>
        <w:t>אדם שקיבל הודעה כאמור חייב למלא אחריה.</w:t>
      </w:r>
    </w:p>
    <w:p w:rsidR="00670024" w:rsidRPr="00670024" w:rsidRDefault="00670024" w:rsidP="00D00284">
      <w:pPr>
        <w:pStyle w:val="2"/>
      </w:pPr>
      <w:r w:rsidRPr="00670024">
        <w:rPr>
          <w:rtl/>
        </w:rPr>
        <w:t>הדברה בידי המועצה</w:t>
      </w:r>
    </w:p>
    <w:p w:rsidR="00670024" w:rsidRPr="00670024" w:rsidRDefault="00670024" w:rsidP="00CE4DA7">
      <w:pPr>
        <w:pStyle w:val="af"/>
        <w:ind w:left="284" w:hanging="284"/>
        <w:rPr>
          <w:color w:val="000000" w:themeColor="text1"/>
        </w:rPr>
      </w:pPr>
      <w:r w:rsidRPr="00CE4DA7">
        <w:rPr>
          <w:b/>
          <w:color w:val="000000" w:themeColor="text1"/>
          <w:rtl/>
        </w:rPr>
        <w:t>4.</w:t>
      </w:r>
      <w:r w:rsidR="00CE4DA7">
        <w:rPr>
          <w:bCs/>
          <w:color w:val="000000" w:themeColor="text1"/>
          <w:rtl/>
        </w:rPr>
        <w:tab/>
      </w:r>
      <w:r w:rsidRPr="00670024">
        <w:rPr>
          <w:bCs/>
          <w:color w:val="000000" w:themeColor="text1"/>
          <w:rtl/>
        </w:rPr>
        <w:tab/>
      </w:r>
      <w:r w:rsidRPr="00670024">
        <w:rPr>
          <w:color w:val="000000" w:themeColor="text1"/>
          <w:rtl/>
        </w:rPr>
        <w:t>לא מילא אדם אחר דרישת ראש המועצה או המפקח לפי סעיף 3</w:t>
      </w:r>
      <w:r w:rsidRPr="00670024">
        <w:rPr>
          <w:color w:val="000000" w:themeColor="text1"/>
        </w:rPr>
        <w:t>)</w:t>
      </w:r>
      <w:r w:rsidRPr="00670024">
        <w:rPr>
          <w:color w:val="000000" w:themeColor="text1"/>
          <w:rtl/>
        </w:rPr>
        <w:t>א</w:t>
      </w:r>
      <w:r w:rsidRPr="00670024">
        <w:rPr>
          <w:color w:val="000000" w:themeColor="text1"/>
        </w:rPr>
        <w:t>(</w:t>
      </w:r>
      <w:r w:rsidRPr="00670024">
        <w:rPr>
          <w:color w:val="000000" w:themeColor="text1"/>
          <w:rtl/>
        </w:rPr>
        <w:t xml:space="preserve"> או ביצע עבודה מהעבודות המפורטות בהודעה שלא לפי הפרטים והתנאים הקבועים בה, רשאית המועצה לבצע את העבודה הדרושה להדברת המזיקים ולגבות את הוצאות הביצוע מאותו אדם.</w:t>
      </w:r>
    </w:p>
    <w:p w:rsidR="00670024" w:rsidRPr="00670024" w:rsidRDefault="00670024" w:rsidP="00D00284">
      <w:pPr>
        <w:pStyle w:val="2"/>
      </w:pPr>
      <w:r w:rsidRPr="00670024">
        <w:rPr>
          <w:rtl/>
        </w:rPr>
        <w:t>הדברה מרוכזת</w:t>
      </w:r>
    </w:p>
    <w:p w:rsidR="00CE4DA7" w:rsidRDefault="00670024" w:rsidP="00670024">
      <w:pPr>
        <w:pStyle w:val="af"/>
        <w:rPr>
          <w:bCs/>
          <w:color w:val="000000" w:themeColor="text1"/>
          <w:rtl/>
        </w:rPr>
      </w:pPr>
      <w:r w:rsidRPr="00CE4DA7">
        <w:rPr>
          <w:b/>
          <w:color w:val="000000" w:themeColor="text1"/>
          <w:rtl/>
        </w:rPr>
        <w:t>5.</w:t>
      </w:r>
    </w:p>
    <w:p w:rsidR="00CE4DA7" w:rsidRDefault="00670024" w:rsidP="00CE4DA7">
      <w:pPr>
        <w:pStyle w:val="af"/>
        <w:numPr>
          <w:ilvl w:val="0"/>
          <w:numId w:val="4"/>
        </w:numPr>
        <w:tabs>
          <w:tab w:val="clear" w:pos="624"/>
          <w:tab w:val="clear" w:pos="651"/>
        </w:tabs>
        <w:ind w:left="521"/>
        <w:rPr>
          <w:color w:val="000000" w:themeColor="text1"/>
        </w:rPr>
      </w:pPr>
      <w:r w:rsidRPr="00670024">
        <w:rPr>
          <w:color w:val="000000" w:themeColor="text1"/>
          <w:rtl/>
        </w:rPr>
        <w:t>ראש המועצה רשאי להורות על הדברת מזיקים מרוכזת בתחום השיפוט של המועצה לאחר שנוכח שהדבר דרוש ליעילות סילוקו של המפגע או למניעתו.</w:t>
      </w:r>
    </w:p>
    <w:p w:rsidR="00CE4DA7" w:rsidRDefault="00670024" w:rsidP="00CE4DA7">
      <w:pPr>
        <w:pStyle w:val="af"/>
        <w:numPr>
          <w:ilvl w:val="0"/>
          <w:numId w:val="4"/>
        </w:numPr>
        <w:tabs>
          <w:tab w:val="clear" w:pos="624"/>
          <w:tab w:val="clear" w:pos="651"/>
        </w:tabs>
        <w:ind w:left="521"/>
        <w:rPr>
          <w:color w:val="000000" w:themeColor="text1"/>
        </w:rPr>
      </w:pPr>
      <w:r w:rsidRPr="00CE4DA7">
        <w:rPr>
          <w:color w:val="000000" w:themeColor="text1"/>
          <w:rtl/>
        </w:rPr>
        <w:t>הורה ראש המועצה על סילוקו של מפגע בדרך של הדברה מרוכזת, תהיה המועצה רשאית לחייב בעל או מחזיק לשאת בהוצאות ההדברה על פי חלקו היחסי של כל אחד מן הבעלים או המחזיקים בנכס בהוצאות ההדברה המרוכזת, לפי הסכום שיתקבל מחילוק הוצאות המועצה לביצוע ההדברה המרוכזת במספרם הכולל של הנכסים שבתחומה.</w:t>
      </w:r>
    </w:p>
    <w:p w:rsidR="00670024" w:rsidRPr="00CE4DA7" w:rsidRDefault="00670024" w:rsidP="00CE4DA7">
      <w:pPr>
        <w:pStyle w:val="af"/>
        <w:numPr>
          <w:ilvl w:val="0"/>
          <w:numId w:val="4"/>
        </w:numPr>
        <w:tabs>
          <w:tab w:val="clear" w:pos="624"/>
          <w:tab w:val="clear" w:pos="651"/>
        </w:tabs>
        <w:ind w:left="521"/>
        <w:rPr>
          <w:color w:val="000000" w:themeColor="text1"/>
        </w:rPr>
      </w:pPr>
      <w:r w:rsidRPr="00CE4DA7">
        <w:rPr>
          <w:color w:val="000000" w:themeColor="text1"/>
          <w:rtl/>
        </w:rPr>
        <w:t>הודעה על צורך לבצע הדברה מרוכזת תוצג על לוח המודעות שבמשרדי המועצה ובמקומות ציבוריים שבתחומה, נוסף למסירתה לבעלים או למחזיקים של כל נכס בתחום המועצה.</w:t>
      </w:r>
    </w:p>
    <w:p w:rsidR="00670024" w:rsidRPr="00670024" w:rsidRDefault="00670024" w:rsidP="00D00284">
      <w:pPr>
        <w:pStyle w:val="2"/>
      </w:pPr>
      <w:r w:rsidRPr="00670024">
        <w:rPr>
          <w:rtl/>
        </w:rPr>
        <w:t>סמכות ראש המועצה והמפקח</w:t>
      </w:r>
    </w:p>
    <w:p w:rsidR="00CE4DA7" w:rsidRDefault="00670024" w:rsidP="00670024">
      <w:pPr>
        <w:pStyle w:val="af"/>
        <w:rPr>
          <w:b/>
          <w:color w:val="000000" w:themeColor="text1"/>
          <w:rtl/>
        </w:rPr>
      </w:pPr>
      <w:r w:rsidRPr="00CE4DA7">
        <w:rPr>
          <w:b/>
          <w:color w:val="000000" w:themeColor="text1"/>
          <w:rtl/>
        </w:rPr>
        <w:t>6.</w:t>
      </w:r>
    </w:p>
    <w:p w:rsidR="00CE4DA7" w:rsidRDefault="00670024" w:rsidP="00CE4DA7">
      <w:pPr>
        <w:pStyle w:val="af"/>
        <w:numPr>
          <w:ilvl w:val="0"/>
          <w:numId w:val="6"/>
        </w:numPr>
        <w:tabs>
          <w:tab w:val="clear" w:pos="624"/>
          <w:tab w:val="clear" w:pos="651"/>
        </w:tabs>
        <w:ind w:left="521"/>
        <w:rPr>
          <w:color w:val="000000" w:themeColor="text1"/>
        </w:rPr>
      </w:pPr>
      <w:r w:rsidRPr="00670024">
        <w:rPr>
          <w:color w:val="000000" w:themeColor="text1"/>
          <w:rtl/>
        </w:rPr>
        <w:t>ראש המועצה או המפקח רשאי להיכנס בכל עת סבירה לנכס או לכל מקום שבתחום המועצה, כדי לבדוק או לבקר ולברר אם קוימו הוראות חוק עזר זה ולעשות בו את הדרוש כדי לבצע הוראות חוק עזר זה ולנקוט צעדים הדרושים לקיומן.</w:t>
      </w:r>
    </w:p>
    <w:p w:rsidR="00670024" w:rsidRPr="00CE4DA7" w:rsidRDefault="00670024" w:rsidP="00CE4DA7">
      <w:pPr>
        <w:pStyle w:val="af"/>
        <w:numPr>
          <w:ilvl w:val="0"/>
          <w:numId w:val="6"/>
        </w:numPr>
        <w:tabs>
          <w:tab w:val="clear" w:pos="624"/>
          <w:tab w:val="clear" w:pos="651"/>
        </w:tabs>
        <w:ind w:left="521"/>
        <w:rPr>
          <w:color w:val="000000" w:themeColor="text1"/>
        </w:rPr>
      </w:pPr>
      <w:r w:rsidRPr="00CE4DA7">
        <w:rPr>
          <w:color w:val="000000" w:themeColor="text1"/>
          <w:rtl/>
        </w:rPr>
        <w:lastRenderedPageBreak/>
        <w:t xml:space="preserve">לא יפריע אדם לראש המועצה או למפקח ולא ימנע אותו מהשתמש בסמכויותיו לפי סעיף קטן </w:t>
      </w:r>
      <w:r w:rsidRPr="00CE4DA7">
        <w:rPr>
          <w:color w:val="000000" w:themeColor="text1"/>
        </w:rPr>
        <w:t>)</w:t>
      </w:r>
      <w:r w:rsidRPr="00CE4DA7">
        <w:rPr>
          <w:color w:val="000000" w:themeColor="text1"/>
          <w:rtl/>
        </w:rPr>
        <w:t>א</w:t>
      </w:r>
      <w:r w:rsidRPr="00CE4DA7">
        <w:rPr>
          <w:color w:val="000000" w:themeColor="text1"/>
        </w:rPr>
        <w:t>(</w:t>
      </w:r>
      <w:r w:rsidRPr="00CE4DA7">
        <w:rPr>
          <w:color w:val="000000" w:themeColor="text1"/>
          <w:rtl/>
        </w:rPr>
        <w:t>.</w:t>
      </w:r>
    </w:p>
    <w:p w:rsidR="00670024" w:rsidRPr="00670024" w:rsidRDefault="00670024" w:rsidP="00D00284">
      <w:pPr>
        <w:pStyle w:val="2"/>
      </w:pPr>
      <w:r w:rsidRPr="00670024">
        <w:rPr>
          <w:rtl/>
        </w:rPr>
        <w:t>ראיה לכאורה לאמיתות חשבון</w:t>
      </w:r>
    </w:p>
    <w:p w:rsidR="00670024" w:rsidRPr="00670024" w:rsidRDefault="00670024" w:rsidP="00CE4DA7">
      <w:pPr>
        <w:pStyle w:val="af"/>
        <w:ind w:left="284" w:hanging="284"/>
        <w:rPr>
          <w:color w:val="000000" w:themeColor="text1"/>
        </w:rPr>
      </w:pPr>
      <w:r w:rsidRPr="00CE4DA7">
        <w:rPr>
          <w:b/>
          <w:color w:val="000000" w:themeColor="text1"/>
          <w:rtl/>
        </w:rPr>
        <w:t>7.</w:t>
      </w:r>
      <w:r w:rsidRPr="00CE4DA7">
        <w:rPr>
          <w:b/>
          <w:color w:val="000000" w:themeColor="text1"/>
          <w:rtl/>
        </w:rPr>
        <w:tab/>
      </w:r>
      <w:r w:rsidRPr="00670024">
        <w:rPr>
          <w:bCs/>
          <w:color w:val="000000" w:themeColor="text1"/>
          <w:rtl/>
        </w:rPr>
        <w:tab/>
      </w:r>
      <w:r w:rsidRPr="00670024">
        <w:rPr>
          <w:color w:val="000000" w:themeColor="text1"/>
          <w:rtl/>
        </w:rPr>
        <w:t>חשבון הוצאות חתום ביד ראש המועצה יהווה הוכחה לכאורה לסכום ההוצאה שהוציאה המועצה על פי סעיפים 4 ו</w:t>
      </w:r>
      <w:r w:rsidR="00E377DB">
        <w:rPr>
          <w:rFonts w:hint="cs"/>
          <w:color w:val="000000" w:themeColor="text1"/>
          <w:rtl/>
        </w:rPr>
        <w:t xml:space="preserve"> - 5</w:t>
      </w:r>
      <w:r w:rsidRPr="00670024">
        <w:rPr>
          <w:color w:val="000000" w:themeColor="text1"/>
        </w:rPr>
        <w:t>)</w:t>
      </w:r>
      <w:r w:rsidRPr="00670024">
        <w:rPr>
          <w:color w:val="000000" w:themeColor="text1"/>
          <w:rtl/>
        </w:rPr>
        <w:t>ב</w:t>
      </w:r>
      <w:r w:rsidRPr="00670024">
        <w:rPr>
          <w:color w:val="000000" w:themeColor="text1"/>
        </w:rPr>
        <w:t>(</w:t>
      </w:r>
      <w:r w:rsidRPr="00670024">
        <w:rPr>
          <w:color w:val="000000" w:themeColor="text1"/>
          <w:rtl/>
        </w:rPr>
        <w:t>.</w:t>
      </w:r>
    </w:p>
    <w:p w:rsidR="00670024" w:rsidRPr="00670024" w:rsidRDefault="00670024" w:rsidP="00D00284">
      <w:pPr>
        <w:pStyle w:val="2"/>
      </w:pPr>
      <w:r w:rsidRPr="00670024">
        <w:rPr>
          <w:rtl/>
        </w:rPr>
        <w:t>מסירת הודעות</w:t>
      </w:r>
    </w:p>
    <w:p w:rsidR="00670024" w:rsidRPr="00670024" w:rsidRDefault="00670024" w:rsidP="00CE4DA7">
      <w:pPr>
        <w:pStyle w:val="af"/>
        <w:ind w:left="284" w:hanging="284"/>
        <w:rPr>
          <w:color w:val="000000" w:themeColor="text1"/>
        </w:rPr>
      </w:pPr>
      <w:r w:rsidRPr="00CE4DA7">
        <w:rPr>
          <w:b/>
          <w:color w:val="000000" w:themeColor="text1"/>
          <w:rtl/>
        </w:rPr>
        <w:t>8.</w:t>
      </w:r>
      <w:r w:rsidR="00CE4DA7">
        <w:rPr>
          <w:bCs/>
          <w:color w:val="000000" w:themeColor="text1"/>
          <w:rtl/>
        </w:rPr>
        <w:tab/>
      </w:r>
      <w:r w:rsidRPr="00670024">
        <w:rPr>
          <w:bCs/>
          <w:color w:val="000000" w:themeColor="text1"/>
          <w:rtl/>
        </w:rPr>
        <w:tab/>
      </w:r>
      <w:r w:rsidRPr="00670024">
        <w:rPr>
          <w:color w:val="000000" w:themeColor="text1"/>
          <w:rtl/>
        </w:rPr>
        <w:t xml:space="preserve">מסירת הודעה לפי חוק עזר זה תהא כדין אם נמסרה לידי האדם שאליו היא מכוונת, או נמסרה במקום מגוריו או במקום עסקיו הרגילים או הידועים לאחרונה, לאחד מבני משפחתו הבוגרים או לאדם בוגר העובד או המועסק שם, או נשלחה בדואר במכתב רשום הערוך אל אותו אדם לפי מען מגוריו או עסקיו הרגילים הידועים לאחרונה; אם אי אפשר לקיים את המסירה כאמור,  תהא המסירה כדין אם הוצגה ההודעה במקום בולט על הנכס שבו היא דנה או במשרד המועצה, או </w:t>
      </w:r>
      <w:proofErr w:type="spellStart"/>
      <w:r w:rsidRPr="00670024">
        <w:rPr>
          <w:color w:val="000000" w:themeColor="text1"/>
          <w:rtl/>
        </w:rPr>
        <w:t>נתפרסמה</w:t>
      </w:r>
      <w:proofErr w:type="spellEnd"/>
      <w:r w:rsidRPr="00670024">
        <w:rPr>
          <w:color w:val="000000" w:themeColor="text1"/>
          <w:rtl/>
        </w:rPr>
        <w:t xml:space="preserve"> בשני </w:t>
      </w:r>
      <w:proofErr w:type="spellStart"/>
      <w:r w:rsidRPr="00670024">
        <w:rPr>
          <w:color w:val="000000" w:themeColor="text1"/>
          <w:rtl/>
        </w:rPr>
        <w:t>עתונים</w:t>
      </w:r>
      <w:proofErr w:type="spellEnd"/>
      <w:r w:rsidRPr="00670024">
        <w:rPr>
          <w:color w:val="000000" w:themeColor="text1"/>
          <w:rtl/>
        </w:rPr>
        <w:t xml:space="preserve"> יומיים הנפוצים בתחום המועצה שאחד מהם לפחות הוא בשפה העברית.</w:t>
      </w:r>
    </w:p>
    <w:p w:rsidR="00670024" w:rsidRPr="00670024" w:rsidRDefault="00670024" w:rsidP="00D00284">
      <w:pPr>
        <w:pStyle w:val="2"/>
      </w:pPr>
      <w:r w:rsidRPr="00670024">
        <w:rPr>
          <w:rtl/>
        </w:rPr>
        <w:t xml:space="preserve">עבירות </w:t>
      </w:r>
      <w:proofErr w:type="spellStart"/>
      <w:r w:rsidRPr="00670024">
        <w:rPr>
          <w:rtl/>
        </w:rPr>
        <w:t>ועונשין</w:t>
      </w:r>
      <w:proofErr w:type="spellEnd"/>
    </w:p>
    <w:p w:rsidR="00670024" w:rsidRPr="00670024" w:rsidRDefault="00670024" w:rsidP="00CE4DA7">
      <w:pPr>
        <w:pStyle w:val="af"/>
        <w:ind w:left="284" w:hanging="284"/>
        <w:rPr>
          <w:color w:val="000000" w:themeColor="text1"/>
        </w:rPr>
      </w:pPr>
      <w:r w:rsidRPr="00CE4DA7">
        <w:rPr>
          <w:b/>
          <w:color w:val="000000" w:themeColor="text1"/>
          <w:rtl/>
        </w:rPr>
        <w:t>9.</w:t>
      </w:r>
      <w:r w:rsidRPr="00670024">
        <w:rPr>
          <w:bCs/>
          <w:color w:val="000000" w:themeColor="text1"/>
          <w:rtl/>
        </w:rPr>
        <w:tab/>
      </w:r>
      <w:r w:rsidRPr="00670024">
        <w:rPr>
          <w:bCs/>
          <w:color w:val="000000" w:themeColor="text1"/>
          <w:rtl/>
        </w:rPr>
        <w:tab/>
      </w:r>
      <w:r w:rsidRPr="00670024">
        <w:rPr>
          <w:color w:val="000000" w:themeColor="text1"/>
          <w:rtl/>
        </w:rPr>
        <w:t xml:space="preserve">העובר על הוראה מהוראות חוק עזר זה, דינו </w:t>
      </w:r>
      <w:r w:rsidRPr="00670024">
        <w:rPr>
          <w:color w:val="000000" w:themeColor="text1"/>
        </w:rPr>
        <w:t>-</w:t>
      </w:r>
      <w:r w:rsidRPr="00670024">
        <w:rPr>
          <w:color w:val="000000" w:themeColor="text1"/>
          <w:rtl/>
        </w:rPr>
        <w:t xml:space="preserve"> קנס 900 שקלים חדשים, ואם עבר על הוראות סעיף 3</w:t>
      </w:r>
      <w:r w:rsidRPr="00670024">
        <w:rPr>
          <w:color w:val="000000" w:themeColor="text1"/>
        </w:rPr>
        <w:t>)</w:t>
      </w:r>
      <w:r w:rsidRPr="00670024">
        <w:rPr>
          <w:color w:val="000000" w:themeColor="text1"/>
          <w:rtl/>
        </w:rPr>
        <w:t>ג</w:t>
      </w:r>
      <w:r w:rsidRPr="00670024">
        <w:rPr>
          <w:color w:val="000000" w:themeColor="text1"/>
        </w:rPr>
        <w:t>(</w:t>
      </w:r>
      <w:r w:rsidRPr="00670024">
        <w:rPr>
          <w:color w:val="000000" w:themeColor="text1"/>
          <w:rtl/>
        </w:rPr>
        <w:t xml:space="preserve"> והמועצה לא השתמשה בסמכויותיה לפי סעיף 4, </w:t>
      </w:r>
      <w:proofErr w:type="spellStart"/>
      <w:r w:rsidRPr="00670024">
        <w:rPr>
          <w:color w:val="000000" w:themeColor="text1"/>
          <w:rtl/>
        </w:rPr>
        <w:t>והיתה</w:t>
      </w:r>
      <w:proofErr w:type="spellEnd"/>
      <w:r w:rsidRPr="00670024">
        <w:rPr>
          <w:color w:val="000000" w:themeColor="text1"/>
          <w:rtl/>
        </w:rPr>
        <w:t xml:space="preserve"> העבירה נמשכת, דינו </w:t>
      </w:r>
      <w:r w:rsidRPr="00670024">
        <w:rPr>
          <w:color w:val="000000" w:themeColor="text1"/>
        </w:rPr>
        <w:t>-</w:t>
      </w:r>
      <w:r w:rsidRPr="00670024">
        <w:rPr>
          <w:color w:val="000000" w:themeColor="text1"/>
          <w:rtl/>
        </w:rPr>
        <w:t xml:space="preserve"> קנס נוסף 36 שקלים חדשים לכל יום שבו נמשכת העבירה אחרי שנמסרה לו עליה הודעה בכתב מאת ראש המועצה או אחרי הרשעתו בדין.</w:t>
      </w:r>
    </w:p>
    <w:p w:rsidR="00670024" w:rsidRPr="00670024" w:rsidRDefault="00670024" w:rsidP="00D00284">
      <w:pPr>
        <w:pStyle w:val="2"/>
      </w:pPr>
      <w:r w:rsidRPr="00670024">
        <w:rPr>
          <w:rtl/>
        </w:rPr>
        <w:t>שמירת דינים</w:t>
      </w:r>
    </w:p>
    <w:p w:rsidR="00670024" w:rsidRPr="00670024" w:rsidRDefault="00670024" w:rsidP="00CE4DA7">
      <w:pPr>
        <w:pStyle w:val="af"/>
        <w:ind w:left="284" w:hanging="284"/>
        <w:rPr>
          <w:color w:val="000000" w:themeColor="text1"/>
        </w:rPr>
      </w:pPr>
      <w:r w:rsidRPr="00CE4DA7">
        <w:rPr>
          <w:b/>
          <w:color w:val="000000" w:themeColor="text1"/>
          <w:rtl/>
        </w:rPr>
        <w:t>10.</w:t>
      </w:r>
      <w:r w:rsidRPr="00670024">
        <w:rPr>
          <w:bCs/>
          <w:color w:val="000000" w:themeColor="text1"/>
          <w:rtl/>
        </w:rPr>
        <w:tab/>
      </w:r>
      <w:r w:rsidRPr="00670024">
        <w:rPr>
          <w:bCs/>
          <w:color w:val="000000" w:themeColor="text1"/>
          <w:rtl/>
        </w:rPr>
        <w:tab/>
      </w:r>
      <w:r w:rsidRPr="00670024">
        <w:rPr>
          <w:color w:val="000000" w:themeColor="text1"/>
          <w:rtl/>
        </w:rPr>
        <w:t>האמור בחוק עזר זה אינו פוטר מהחובה המוטלת לפי חיקוק אחר על הבעל או המחזיק או על אדם אחר.</w:t>
      </w:r>
    </w:p>
    <w:p w:rsidR="00670024" w:rsidRPr="00670024" w:rsidRDefault="00670024" w:rsidP="00CE4DA7">
      <w:pPr>
        <w:pStyle w:val="ad"/>
        <w:ind w:firstLine="284"/>
        <w:rPr>
          <w:color w:val="000000" w:themeColor="text1"/>
        </w:rPr>
      </w:pPr>
      <w:r w:rsidRPr="00670024">
        <w:rPr>
          <w:color w:val="000000" w:themeColor="text1"/>
          <w:rtl/>
        </w:rPr>
        <w:t xml:space="preserve">י"ג בכסלו </w:t>
      </w:r>
      <w:proofErr w:type="spellStart"/>
      <w:r w:rsidRPr="00670024">
        <w:rPr>
          <w:color w:val="000000" w:themeColor="text1"/>
          <w:rtl/>
        </w:rPr>
        <w:t>התשנ"ב</w:t>
      </w:r>
      <w:proofErr w:type="spellEnd"/>
      <w:r w:rsidRPr="00670024">
        <w:rPr>
          <w:color w:val="000000" w:themeColor="text1"/>
          <w:rtl/>
        </w:rPr>
        <w:t xml:space="preserve"> </w:t>
      </w:r>
      <w:r w:rsidRPr="00670024">
        <w:rPr>
          <w:color w:val="000000" w:themeColor="text1"/>
        </w:rPr>
        <w:t>)</w:t>
      </w:r>
      <w:r w:rsidRPr="00670024">
        <w:rPr>
          <w:color w:val="000000" w:themeColor="text1"/>
          <w:rtl/>
        </w:rPr>
        <w:t>20 בנובמבר 1991</w:t>
      </w:r>
      <w:r w:rsidRPr="00670024">
        <w:rPr>
          <w:color w:val="000000" w:themeColor="text1"/>
        </w:rPr>
        <w:t>(</w:t>
      </w:r>
    </w:p>
    <w:p w:rsidR="00670024" w:rsidRPr="00670024" w:rsidRDefault="00670024" w:rsidP="00670024">
      <w:pPr>
        <w:pStyle w:val="ae"/>
        <w:ind w:left="5052" w:right="0"/>
        <w:rPr>
          <w:color w:val="000000" w:themeColor="text1"/>
        </w:rPr>
      </w:pPr>
      <w:proofErr w:type="spellStart"/>
      <w:r w:rsidRPr="00670024">
        <w:rPr>
          <w:color w:val="000000" w:themeColor="text1"/>
          <w:rtl/>
        </w:rPr>
        <w:t>סמיר</w:t>
      </w:r>
      <w:proofErr w:type="spellEnd"/>
      <w:r w:rsidRPr="00670024">
        <w:rPr>
          <w:color w:val="000000" w:themeColor="text1"/>
          <w:rtl/>
        </w:rPr>
        <w:t xml:space="preserve"> </w:t>
      </w:r>
      <w:proofErr w:type="spellStart"/>
      <w:r w:rsidRPr="00670024">
        <w:rPr>
          <w:color w:val="000000" w:themeColor="text1"/>
          <w:rtl/>
        </w:rPr>
        <w:t>דרויש</w:t>
      </w:r>
      <w:proofErr w:type="spellEnd"/>
    </w:p>
    <w:p w:rsidR="002772D8" w:rsidRPr="00670024" w:rsidRDefault="00670024" w:rsidP="00670024">
      <w:pPr>
        <w:pStyle w:val="ae"/>
        <w:ind w:left="5052" w:right="0"/>
        <w:rPr>
          <w:color w:val="000000" w:themeColor="text1"/>
        </w:rPr>
      </w:pPr>
      <w:r w:rsidRPr="00670024">
        <w:rPr>
          <w:color w:val="000000" w:themeColor="text1"/>
          <w:rtl/>
        </w:rPr>
        <w:t>ראש המועצה המקומית באקה אל-</w:t>
      </w:r>
      <w:proofErr w:type="spellStart"/>
      <w:r w:rsidRPr="00670024">
        <w:rPr>
          <w:color w:val="000000" w:themeColor="text1"/>
          <w:rtl/>
        </w:rPr>
        <w:t>גרבייה</w:t>
      </w:r>
      <w:proofErr w:type="spellEnd"/>
    </w:p>
    <w:sectPr w:rsidR="002772D8" w:rsidRPr="006700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F72" w:rsidRDefault="00234F72" w:rsidP="00E377DB">
      <w:pPr>
        <w:spacing w:after="0" w:line="240" w:lineRule="auto"/>
      </w:pPr>
      <w:r>
        <w:separator/>
      </w:r>
    </w:p>
  </w:endnote>
  <w:endnote w:type="continuationSeparator" w:id="0">
    <w:p w:rsidR="00234F72" w:rsidRDefault="00234F72" w:rsidP="00E3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F72" w:rsidRDefault="00234F72" w:rsidP="00E377DB">
      <w:pPr>
        <w:spacing w:after="0" w:line="240" w:lineRule="auto"/>
      </w:pPr>
      <w:r>
        <w:separator/>
      </w:r>
    </w:p>
  </w:footnote>
  <w:footnote w:type="continuationSeparator" w:id="0">
    <w:p w:rsidR="00234F72" w:rsidRDefault="00234F72" w:rsidP="00E377DB">
      <w:pPr>
        <w:spacing w:after="0" w:line="240" w:lineRule="auto"/>
      </w:pPr>
      <w:r>
        <w:continuationSeparator/>
      </w:r>
    </w:p>
  </w:footnote>
  <w:footnote w:id="1">
    <w:p w:rsidR="00E377DB" w:rsidRPr="00D00284" w:rsidRDefault="00E377DB" w:rsidP="00E377DB">
      <w:pPr>
        <w:pStyle w:val="af0"/>
        <w:bidi/>
        <w:rPr>
          <w:rFonts w:ascii="David" w:hAnsi="David" w:cs="David"/>
          <w:sz w:val="16"/>
          <w:szCs w:val="16"/>
          <w:rtl/>
        </w:rPr>
      </w:pPr>
      <w:r w:rsidRPr="00D00284">
        <w:rPr>
          <w:rStyle w:val="af2"/>
          <w:rFonts w:ascii="David" w:hAnsi="David" w:cs="David"/>
          <w:sz w:val="16"/>
          <w:szCs w:val="16"/>
        </w:rPr>
        <w:footnoteRef/>
      </w:r>
      <w:r w:rsidRPr="00D00284">
        <w:rPr>
          <w:rFonts w:ascii="David" w:hAnsi="David" w:cs="David"/>
          <w:sz w:val="16"/>
          <w:szCs w:val="16"/>
        </w:rPr>
        <w:t xml:space="preserve"> </w:t>
      </w:r>
      <w:r w:rsidRPr="00D00284">
        <w:rPr>
          <w:rFonts w:ascii="David" w:hAnsi="David" w:cs="David"/>
          <w:sz w:val="16"/>
          <w:szCs w:val="16"/>
          <w:rtl/>
        </w:rPr>
        <w:t>דיני מדינת ישראל, נוסח חדש 9, עמ' 256.</w:t>
      </w:r>
    </w:p>
  </w:footnote>
  <w:footnote w:id="2">
    <w:p w:rsidR="00E377DB" w:rsidRPr="00D00284" w:rsidRDefault="00E377DB" w:rsidP="00E377DB">
      <w:pPr>
        <w:pStyle w:val="af0"/>
        <w:bidi/>
        <w:rPr>
          <w:rFonts w:ascii="David" w:hAnsi="David" w:cs="David"/>
          <w:sz w:val="16"/>
          <w:szCs w:val="16"/>
          <w:rtl/>
        </w:rPr>
      </w:pPr>
      <w:r w:rsidRPr="00D00284">
        <w:rPr>
          <w:rStyle w:val="af2"/>
          <w:rFonts w:ascii="David" w:hAnsi="David" w:cs="David"/>
          <w:sz w:val="16"/>
          <w:szCs w:val="16"/>
        </w:rPr>
        <w:footnoteRef/>
      </w:r>
      <w:r w:rsidRPr="00D00284">
        <w:rPr>
          <w:rFonts w:ascii="David" w:hAnsi="David" w:cs="David"/>
          <w:sz w:val="16"/>
          <w:szCs w:val="16"/>
        </w:rPr>
        <w:t xml:space="preserve"> </w:t>
      </w:r>
      <w:r w:rsidRPr="00D00284">
        <w:rPr>
          <w:rFonts w:ascii="David" w:hAnsi="David" w:cs="David"/>
          <w:sz w:val="16"/>
          <w:szCs w:val="16"/>
          <w:rtl/>
        </w:rPr>
        <w:t xml:space="preserve">ס"ח </w:t>
      </w:r>
      <w:proofErr w:type="spellStart"/>
      <w:r w:rsidRPr="00D00284">
        <w:rPr>
          <w:rFonts w:ascii="David" w:hAnsi="David" w:cs="David"/>
          <w:sz w:val="16"/>
          <w:szCs w:val="16"/>
          <w:rtl/>
        </w:rPr>
        <w:t>התשכ"ח</w:t>
      </w:r>
      <w:proofErr w:type="spellEnd"/>
      <w:r w:rsidRPr="00D00284">
        <w:rPr>
          <w:rFonts w:ascii="David" w:hAnsi="David" w:cs="David"/>
          <w:sz w:val="16"/>
          <w:szCs w:val="16"/>
          <w:rtl/>
        </w:rPr>
        <w:t>, עמ' 204.</w:t>
      </w:r>
    </w:p>
  </w:footnote>
  <w:footnote w:id="3">
    <w:p w:rsidR="00E377DB" w:rsidRPr="00D00284" w:rsidRDefault="00E377DB" w:rsidP="00E377DB">
      <w:pPr>
        <w:pStyle w:val="af0"/>
        <w:bidi/>
        <w:rPr>
          <w:rFonts w:ascii="David" w:hAnsi="David" w:cs="David"/>
          <w:sz w:val="16"/>
          <w:szCs w:val="16"/>
          <w:rtl/>
        </w:rPr>
      </w:pPr>
      <w:r w:rsidRPr="00D00284">
        <w:rPr>
          <w:rStyle w:val="af2"/>
          <w:rFonts w:ascii="David" w:hAnsi="David" w:cs="David"/>
          <w:sz w:val="16"/>
          <w:szCs w:val="16"/>
        </w:rPr>
        <w:footnoteRef/>
      </w:r>
      <w:r w:rsidRPr="00D00284">
        <w:rPr>
          <w:rFonts w:ascii="David" w:hAnsi="David" w:cs="David"/>
          <w:sz w:val="16"/>
          <w:szCs w:val="16"/>
        </w:rPr>
        <w:t xml:space="preserve"> </w:t>
      </w:r>
      <w:r w:rsidRPr="00D00284">
        <w:rPr>
          <w:rFonts w:ascii="David" w:hAnsi="David" w:cs="David"/>
          <w:sz w:val="16"/>
          <w:szCs w:val="16"/>
          <w:rtl/>
        </w:rPr>
        <w:t xml:space="preserve">ק"ה </w:t>
      </w:r>
      <w:proofErr w:type="spellStart"/>
      <w:r w:rsidRPr="00D00284">
        <w:rPr>
          <w:rFonts w:ascii="David" w:hAnsi="David" w:cs="David"/>
          <w:sz w:val="16"/>
          <w:szCs w:val="16"/>
          <w:rtl/>
        </w:rPr>
        <w:t>התשל"ה</w:t>
      </w:r>
      <w:proofErr w:type="spellEnd"/>
      <w:r w:rsidRPr="00D00284">
        <w:rPr>
          <w:rFonts w:ascii="David" w:hAnsi="David" w:cs="David"/>
          <w:sz w:val="16"/>
          <w:szCs w:val="16"/>
          <w:rtl/>
        </w:rPr>
        <w:t>, עמ' 1184.</w:t>
      </w:r>
    </w:p>
  </w:footnote>
  <w:footnote w:id="4">
    <w:p w:rsidR="00E377DB" w:rsidRDefault="00E377DB" w:rsidP="00E377DB">
      <w:pPr>
        <w:pStyle w:val="af0"/>
        <w:bidi/>
        <w:rPr>
          <w:rFonts w:hint="cs"/>
          <w:rtl/>
        </w:rPr>
      </w:pPr>
      <w:r w:rsidRPr="00D00284">
        <w:rPr>
          <w:rStyle w:val="af2"/>
          <w:rFonts w:ascii="David" w:hAnsi="David" w:cs="David"/>
          <w:sz w:val="16"/>
          <w:szCs w:val="16"/>
        </w:rPr>
        <w:footnoteRef/>
      </w:r>
      <w:r w:rsidRPr="00D00284">
        <w:rPr>
          <w:rFonts w:ascii="David" w:hAnsi="David" w:cs="David"/>
          <w:sz w:val="16"/>
          <w:szCs w:val="16"/>
        </w:rPr>
        <w:t xml:space="preserve"> </w:t>
      </w:r>
      <w:proofErr w:type="spellStart"/>
      <w:r w:rsidRPr="00D00284">
        <w:rPr>
          <w:rFonts w:ascii="David" w:hAnsi="David" w:cs="David"/>
          <w:sz w:val="16"/>
          <w:szCs w:val="16"/>
          <w:rtl/>
        </w:rPr>
        <w:t>ק"ת</w:t>
      </w:r>
      <w:proofErr w:type="spellEnd"/>
      <w:r w:rsidRPr="00D00284">
        <w:rPr>
          <w:rFonts w:ascii="David" w:hAnsi="David" w:cs="David"/>
          <w:sz w:val="16"/>
          <w:szCs w:val="16"/>
          <w:rtl/>
        </w:rPr>
        <w:t xml:space="preserve"> </w:t>
      </w:r>
      <w:proofErr w:type="spellStart"/>
      <w:r w:rsidRPr="00D00284">
        <w:rPr>
          <w:rFonts w:ascii="David" w:hAnsi="David" w:cs="David"/>
          <w:sz w:val="16"/>
          <w:szCs w:val="16"/>
          <w:rtl/>
        </w:rPr>
        <w:t>התשי"א</w:t>
      </w:r>
      <w:proofErr w:type="spellEnd"/>
      <w:r w:rsidRPr="00D00284">
        <w:rPr>
          <w:rFonts w:ascii="David" w:hAnsi="David" w:cs="David"/>
          <w:sz w:val="16"/>
          <w:szCs w:val="16"/>
          <w:rtl/>
        </w:rPr>
        <w:t>, עמ'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0367B"/>
    <w:multiLevelType w:val="hybridMultilevel"/>
    <w:tmpl w:val="8DC2BED6"/>
    <w:lvl w:ilvl="0" w:tplc="1EF27B42">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C129EC"/>
    <w:multiLevelType w:val="hybridMultilevel"/>
    <w:tmpl w:val="FB5A6326"/>
    <w:lvl w:ilvl="0" w:tplc="1EF27B42">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06D73F9"/>
    <w:multiLevelType w:val="hybridMultilevel"/>
    <w:tmpl w:val="BDA4B5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F611D55"/>
    <w:multiLevelType w:val="hybridMultilevel"/>
    <w:tmpl w:val="A3989D98"/>
    <w:lvl w:ilvl="0" w:tplc="1EF27B42">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4CE48BA"/>
    <w:multiLevelType w:val="hybridMultilevel"/>
    <w:tmpl w:val="9E4439D8"/>
    <w:lvl w:ilvl="0" w:tplc="1EF27B42">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8732CDC"/>
    <w:multiLevelType w:val="hybridMultilevel"/>
    <w:tmpl w:val="183C10CC"/>
    <w:lvl w:ilvl="0" w:tplc="1EF27B42">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24"/>
    <w:rsid w:val="001B4F53"/>
    <w:rsid w:val="00234F72"/>
    <w:rsid w:val="002772D8"/>
    <w:rsid w:val="00670024"/>
    <w:rsid w:val="00B5232C"/>
    <w:rsid w:val="00CE4DA7"/>
    <w:rsid w:val="00D00284"/>
    <w:rsid w:val="00E377D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71A9"/>
  <w15:chartTrackingRefBased/>
  <w15:docId w15:val="{270DEE69-A258-4B9C-B97A-702CF46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670024"/>
    <w:pPr>
      <w:bidi/>
      <w:spacing w:after="0" w:line="360" w:lineRule="auto"/>
      <w:jc w:val="center"/>
      <w:outlineLvl w:val="0"/>
    </w:pPr>
    <w:rPr>
      <w:rFonts w:ascii="Arial" w:hAnsi="Arial" w:cs="Arial"/>
      <w:b/>
      <w:bCs/>
      <w:color w:val="BF8F00"/>
      <w:sz w:val="36"/>
      <w:szCs w:val="36"/>
      <w:lang w:eastAsia="he-IL"/>
    </w:rPr>
  </w:style>
  <w:style w:type="paragraph" w:styleId="2">
    <w:name w:val="heading 2"/>
    <w:basedOn w:val="a0"/>
    <w:next w:val="a"/>
    <w:link w:val="20"/>
    <w:uiPriority w:val="9"/>
    <w:qFormat/>
    <w:rsid w:val="00D00284"/>
    <w:pPr>
      <w:ind w:left="618" w:right="0"/>
      <w:outlineLvl w:val="1"/>
    </w:pPr>
    <w:rPr>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1"/>
    <w:link w:val="1"/>
    <w:uiPriority w:val="9"/>
    <w:rsid w:val="00670024"/>
    <w:rPr>
      <w:rFonts w:ascii="Arial" w:eastAsiaTheme="minorEastAsia" w:hAnsi="Arial" w:cs="Arial"/>
      <w:b/>
      <w:bCs/>
      <w:color w:val="BF8F00"/>
      <w:sz w:val="36"/>
      <w:szCs w:val="36"/>
      <w:lang w:val="en-US" w:eastAsia="he-IL"/>
    </w:rPr>
  </w:style>
  <w:style w:type="paragraph" w:customStyle="1" w:styleId="ab">
    <w:name w:val="#איזכור"/>
    <w:uiPriority w:val="99"/>
    <w:rsid w:val="00670024"/>
    <w:pPr>
      <w:tabs>
        <w:tab w:val="left" w:pos="2886"/>
        <w:tab w:val="left" w:pos="3918"/>
        <w:tab w:val="left" w:pos="5477"/>
      </w:tabs>
      <w:autoSpaceDE w:val="0"/>
      <w:autoSpaceDN w:val="0"/>
      <w:bidi/>
      <w:spacing w:after="0" w:line="180" w:lineRule="exact"/>
      <w:ind w:left="284" w:right="2177"/>
      <w:jc w:val="both"/>
    </w:pPr>
    <w:rPr>
      <w:rFonts w:ascii="Times New Roman" w:eastAsiaTheme="minorEastAsia" w:hAnsi="Times New Roman" w:cs="David"/>
      <w:color w:val="008000"/>
      <w:sz w:val="14"/>
      <w:szCs w:val="16"/>
      <w:lang w:val="en-US"/>
    </w:rPr>
  </w:style>
  <w:style w:type="paragraph" w:customStyle="1" w:styleId="ac">
    <w:name w:val="#הגדרות"/>
    <w:uiPriority w:val="99"/>
    <w:rsid w:val="00670024"/>
    <w:pPr>
      <w:autoSpaceDE w:val="0"/>
      <w:autoSpaceDN w:val="0"/>
      <w:bidi/>
      <w:spacing w:after="0" w:line="240" w:lineRule="atLeast"/>
      <w:jc w:val="both"/>
    </w:pPr>
    <w:rPr>
      <w:rFonts w:ascii="Times New Roman" w:eastAsiaTheme="minorEastAsia" w:hAnsi="Times New Roman" w:cs="David"/>
      <w:sz w:val="16"/>
      <w:szCs w:val="20"/>
      <w:lang w:val="en-US"/>
    </w:rPr>
  </w:style>
  <w:style w:type="paragraph" w:customStyle="1" w:styleId="11">
    <w:name w:val="#רמה1"/>
    <w:uiPriority w:val="99"/>
    <w:rsid w:val="00670024"/>
    <w:pPr>
      <w:tabs>
        <w:tab w:val="left" w:pos="998"/>
      </w:tabs>
      <w:autoSpaceDE w:val="0"/>
      <w:autoSpaceDN w:val="0"/>
      <w:bidi/>
      <w:spacing w:after="0" w:line="240" w:lineRule="atLeast"/>
      <w:ind w:firstLine="612"/>
      <w:jc w:val="both"/>
    </w:pPr>
    <w:rPr>
      <w:rFonts w:ascii="Times New Roman" w:eastAsiaTheme="minorEastAsia" w:hAnsi="Times New Roman" w:cs="David"/>
      <w:sz w:val="16"/>
      <w:szCs w:val="20"/>
      <w:lang w:val="en-US"/>
    </w:rPr>
  </w:style>
  <w:style w:type="paragraph" w:customStyle="1" w:styleId="ad">
    <w:name w:val="#הסמכה"/>
    <w:basedOn w:val="11"/>
    <w:next w:val="a"/>
    <w:uiPriority w:val="99"/>
    <w:rsid w:val="00670024"/>
    <w:pPr>
      <w:spacing w:before="240"/>
    </w:pPr>
  </w:style>
  <w:style w:type="paragraph" w:customStyle="1" w:styleId="ae">
    <w:name w:val="#חתימת ראש הרשות"/>
    <w:basedOn w:val="a"/>
    <w:uiPriority w:val="99"/>
    <w:rsid w:val="00670024"/>
    <w:pPr>
      <w:keepNext/>
      <w:tabs>
        <w:tab w:val="left" w:pos="998"/>
        <w:tab w:val="left" w:pos="1320"/>
        <w:tab w:val="left" w:pos="6321"/>
      </w:tabs>
      <w:autoSpaceDE w:val="0"/>
      <w:autoSpaceDN w:val="0"/>
      <w:bidi/>
      <w:spacing w:before="60" w:after="0" w:line="220" w:lineRule="exact"/>
      <w:ind w:right="5052"/>
      <w:jc w:val="center"/>
    </w:pPr>
    <w:rPr>
      <w:rFonts w:ascii="Times New Roman" w:hAnsi="Times New Roman" w:cs="David"/>
      <w:b/>
      <w:bCs/>
      <w:color w:val="800000"/>
      <w:sz w:val="16"/>
      <w:szCs w:val="20"/>
    </w:rPr>
  </w:style>
  <w:style w:type="paragraph" w:customStyle="1" w:styleId="a0">
    <w:name w:val="#כותרתסעיף"/>
    <w:next w:val="11"/>
    <w:uiPriority w:val="99"/>
    <w:rsid w:val="00670024"/>
    <w:pPr>
      <w:tabs>
        <w:tab w:val="left" w:pos="600"/>
      </w:tabs>
      <w:autoSpaceDE w:val="0"/>
      <w:autoSpaceDN w:val="0"/>
      <w:bidi/>
      <w:spacing w:before="230" w:after="0" w:line="240" w:lineRule="atLeast"/>
      <w:ind w:right="618" w:hanging="618"/>
      <w:jc w:val="both"/>
    </w:pPr>
    <w:rPr>
      <w:rFonts w:ascii="Times New Roman" w:eastAsiaTheme="minorEastAsia" w:hAnsi="Times New Roman" w:cs="David"/>
      <w:b/>
      <w:bCs/>
      <w:color w:val="000080"/>
      <w:spacing w:val="4"/>
      <w:sz w:val="18"/>
      <w:szCs w:val="21"/>
      <w:lang w:val="en-US"/>
    </w:rPr>
  </w:style>
  <w:style w:type="paragraph" w:customStyle="1" w:styleId="af">
    <w:name w:val="#מספר סעיף"/>
    <w:next w:val="11"/>
    <w:uiPriority w:val="99"/>
    <w:rsid w:val="00670024"/>
    <w:pPr>
      <w:tabs>
        <w:tab w:val="right" w:pos="624"/>
        <w:tab w:val="right" w:pos="651"/>
      </w:tabs>
      <w:autoSpaceDE w:val="0"/>
      <w:autoSpaceDN w:val="0"/>
      <w:bidi/>
      <w:spacing w:after="0" w:line="240" w:lineRule="atLeast"/>
      <w:jc w:val="both"/>
    </w:pPr>
    <w:rPr>
      <w:rFonts w:ascii="Times New Roman" w:eastAsiaTheme="minorEastAsia" w:hAnsi="Times New Roman" w:cs="David"/>
      <w:sz w:val="16"/>
      <w:szCs w:val="20"/>
      <w:lang w:val="en-US"/>
    </w:rPr>
  </w:style>
  <w:style w:type="paragraph" w:styleId="af0">
    <w:name w:val="footnote text"/>
    <w:basedOn w:val="a"/>
    <w:link w:val="af1"/>
    <w:uiPriority w:val="99"/>
    <w:semiHidden/>
    <w:unhideWhenUsed/>
    <w:rsid w:val="00E377DB"/>
    <w:pPr>
      <w:spacing w:after="0" w:line="240" w:lineRule="auto"/>
    </w:pPr>
    <w:rPr>
      <w:sz w:val="20"/>
      <w:szCs w:val="20"/>
    </w:rPr>
  </w:style>
  <w:style w:type="character" w:customStyle="1" w:styleId="af1">
    <w:name w:val="טקסט הערת שוליים תו"/>
    <w:basedOn w:val="a1"/>
    <w:link w:val="af0"/>
    <w:uiPriority w:val="99"/>
    <w:semiHidden/>
    <w:rsid w:val="00E377DB"/>
    <w:rPr>
      <w:rFonts w:eastAsiaTheme="minorEastAsia"/>
      <w:sz w:val="20"/>
      <w:szCs w:val="20"/>
      <w:lang w:val="en-US"/>
    </w:rPr>
  </w:style>
  <w:style w:type="character" w:styleId="af2">
    <w:name w:val="footnote reference"/>
    <w:basedOn w:val="a1"/>
    <w:uiPriority w:val="99"/>
    <w:semiHidden/>
    <w:unhideWhenUsed/>
    <w:rsid w:val="00E377DB"/>
    <w:rPr>
      <w:vertAlign w:val="superscript"/>
    </w:rPr>
  </w:style>
  <w:style w:type="character" w:customStyle="1" w:styleId="20">
    <w:name w:val="כותרת 2 תו"/>
    <w:basedOn w:val="a1"/>
    <w:link w:val="2"/>
    <w:uiPriority w:val="9"/>
    <w:rsid w:val="00D00284"/>
    <w:rPr>
      <w:rFonts w:ascii="Times New Roman" w:eastAsiaTheme="minorEastAsia" w:hAnsi="Times New Roman" w:cs="David"/>
      <w:b/>
      <w:bCs/>
      <w:color w:val="000000" w:themeColor="text1"/>
      <w:spacing w:val="4"/>
      <w:sz w:val="18"/>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F25C0E-1278-4F4A-848A-0F4B8A3D7B6A}"/>
</file>

<file path=customXml/itemProps2.xml><?xml version="1.0" encoding="utf-8"?>
<ds:datastoreItem xmlns:ds="http://schemas.openxmlformats.org/officeDocument/2006/customXml" ds:itemID="{65C8B72D-D2CC-4F24-816B-1F3415BCC657}"/>
</file>

<file path=customXml/itemProps3.xml><?xml version="1.0" encoding="utf-8"?>
<ds:datastoreItem xmlns:ds="http://schemas.openxmlformats.org/officeDocument/2006/customXml" ds:itemID="{574F6869-3F41-42EF-90BE-D27CE0BA2540}"/>
</file>

<file path=customXml/itemProps4.xml><?xml version="1.0" encoding="utf-8"?>
<ds:datastoreItem xmlns:ds="http://schemas.openxmlformats.org/officeDocument/2006/customXml" ds:itemID="{6F430321-8224-446E-A8E5-02C6B57498CC}"/>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3487</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 גרבייה (הדברת מזיקים), התשנ"ב - 1992</dc:title>
  <dc:subject/>
  <dc:creator>Ester</dc:creator>
  <cp:keywords/>
  <dc:description/>
  <cp:lastModifiedBy>Ester</cp:lastModifiedBy>
  <cp:revision>4</cp:revision>
  <dcterms:created xsi:type="dcterms:W3CDTF">2018-01-08T13:17:00Z</dcterms:created>
  <dcterms:modified xsi:type="dcterms:W3CDTF">2018-01-08T13:23:00Z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