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D8" w:rsidRPr="0028472C" w:rsidRDefault="00024784" w:rsidP="0028472C">
      <w:pPr>
        <w:bidi/>
        <w:jc w:val="center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פקודת המועצות המקומיות, 1941</w:t>
      </w:r>
    </w:p>
    <w:p w:rsidR="00024784" w:rsidRPr="0028472C" w:rsidRDefault="00024784" w:rsidP="0028472C">
      <w:pPr>
        <w:pStyle w:val="1"/>
        <w:rPr>
          <w:rtl/>
        </w:rPr>
      </w:pPr>
      <w:bookmarkStart w:id="0" w:name="_GoBack"/>
      <w:bookmarkEnd w:id="0"/>
      <w:r w:rsidRPr="0028472C">
        <w:rPr>
          <w:rFonts w:hint="cs"/>
          <w:rtl/>
        </w:rPr>
        <w:t>חוק עזר לבאקה אל-</w:t>
      </w:r>
      <w:proofErr w:type="spellStart"/>
      <w:r w:rsidRPr="0028472C">
        <w:rPr>
          <w:rFonts w:hint="cs"/>
          <w:rtl/>
        </w:rPr>
        <w:t>גרבייה</w:t>
      </w:r>
      <w:proofErr w:type="spellEnd"/>
      <w:r w:rsidRPr="0028472C">
        <w:rPr>
          <w:rFonts w:hint="cs"/>
          <w:rtl/>
        </w:rPr>
        <w:t xml:space="preserve"> בדבר היטל עינוגים</w:t>
      </w:r>
    </w:p>
    <w:p w:rsidR="00024784" w:rsidRPr="0028472C" w:rsidRDefault="00024784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בתוקף סמכותה לפי סעיף 9 לפקודת המועצות המקומיות, 1941</w:t>
      </w:r>
      <w:r w:rsidRPr="0028472C">
        <w:rPr>
          <w:rStyle w:val="ac"/>
          <w:rFonts w:ascii="David" w:hAnsi="David" w:cs="David"/>
          <w:rtl/>
        </w:rPr>
        <w:footnoteReference w:id="1"/>
      </w:r>
      <w:r w:rsidRPr="0028472C">
        <w:rPr>
          <w:rFonts w:ascii="David" w:hAnsi="David" w:cs="David"/>
          <w:rtl/>
        </w:rPr>
        <w:t>, מתקינה המועצה המקומית באקה אל-</w:t>
      </w:r>
      <w:proofErr w:type="spellStart"/>
      <w:r w:rsidRPr="0028472C">
        <w:rPr>
          <w:rFonts w:ascii="David" w:hAnsi="David" w:cs="David"/>
          <w:rtl/>
        </w:rPr>
        <w:t>גרבייה</w:t>
      </w:r>
      <w:proofErr w:type="spellEnd"/>
      <w:r w:rsidRPr="0028472C">
        <w:rPr>
          <w:rFonts w:ascii="David" w:hAnsi="David" w:cs="David"/>
          <w:rtl/>
        </w:rPr>
        <w:t xml:space="preserve"> חוק עזר זה:</w:t>
      </w:r>
    </w:p>
    <w:p w:rsidR="00024784" w:rsidRPr="006D2FA8" w:rsidRDefault="00024784" w:rsidP="006D2FA8">
      <w:pPr>
        <w:pStyle w:val="2"/>
        <w:rPr>
          <w:rtl/>
        </w:rPr>
      </w:pPr>
      <w:r w:rsidRPr="006D2FA8">
        <w:rPr>
          <w:rFonts w:hint="cs"/>
          <w:rtl/>
        </w:rPr>
        <w:t>הגדרות</w:t>
      </w:r>
    </w:p>
    <w:p w:rsidR="00024784" w:rsidRPr="006D2FA8" w:rsidRDefault="006D2FA8" w:rsidP="006D2FA8">
      <w:pPr>
        <w:bidi/>
        <w:spacing w:after="0"/>
        <w:ind w:left="284" w:hanging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1.</w:t>
      </w:r>
      <w:r>
        <w:rPr>
          <w:rFonts w:ascii="David" w:hAnsi="David" w:cs="David"/>
          <w:rtl/>
        </w:rPr>
        <w:tab/>
      </w:r>
      <w:r w:rsidR="00024784" w:rsidRPr="006D2FA8">
        <w:rPr>
          <w:rFonts w:ascii="David" w:hAnsi="David" w:cs="David"/>
          <w:rtl/>
        </w:rPr>
        <w:t xml:space="preserve">בחוק עזר זה – 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"עינוג" – הצגות תיאטרון, ראינוע, קברט או קרקס, קונצרט, מחול, החלקה, וכל שעשוע הניתן לקהל, למעט הרצאה או ויכוח שתכליתם העיקרית היא עיונית-הסברתית, ואפילו הם מלווים תמונות או הדגמות</w:t>
      </w:r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"בית עינוג" – כל מקום בתחום המועצה שבו עורכים עינוג</w:t>
      </w:r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"כרטיס" – כרטיס כניסה לבית עינוג</w:t>
      </w:r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"בול" – בול או תו אחר אשר המועצה הרשתה להשתמש בו לצורך תשלום ההיטל</w:t>
      </w:r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"היטל" – התשלום המוטל על כרטיסים לפי חוק עזר זה</w:t>
      </w:r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 xml:space="preserve">"מנהל" – בעל </w:t>
      </w:r>
      <w:proofErr w:type="spellStart"/>
      <w:r w:rsidRPr="0028472C">
        <w:rPr>
          <w:rFonts w:ascii="David" w:hAnsi="David" w:cs="David"/>
          <w:rtl/>
        </w:rPr>
        <w:t>רשיון</w:t>
      </w:r>
      <w:proofErr w:type="spellEnd"/>
      <w:r w:rsidRPr="0028472C">
        <w:rPr>
          <w:rFonts w:ascii="David" w:hAnsi="David" w:cs="David"/>
          <w:rtl/>
        </w:rPr>
        <w:t xml:space="preserve"> לבית עינוג או מי שחייב לקבל </w:t>
      </w:r>
      <w:proofErr w:type="spellStart"/>
      <w:r w:rsidRPr="0028472C">
        <w:rPr>
          <w:rFonts w:ascii="David" w:hAnsi="David" w:cs="David"/>
          <w:rtl/>
        </w:rPr>
        <w:t>רשיון</w:t>
      </w:r>
      <w:proofErr w:type="spellEnd"/>
      <w:r w:rsidRPr="0028472C">
        <w:rPr>
          <w:rFonts w:ascii="David" w:hAnsi="David" w:cs="David"/>
          <w:rtl/>
        </w:rPr>
        <w:t xml:space="preserve"> כזה על פי דין, לרבות אדם המנהל בית עינוג או מפקח עליו</w:t>
      </w:r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"המועצה" – המועצה המקומית באקה אל-</w:t>
      </w:r>
      <w:proofErr w:type="spellStart"/>
      <w:r w:rsidRPr="0028472C">
        <w:rPr>
          <w:rFonts w:ascii="David" w:hAnsi="David" w:cs="David"/>
          <w:rtl/>
        </w:rPr>
        <w:t>גרבייה</w:t>
      </w:r>
      <w:proofErr w:type="spellEnd"/>
      <w:r w:rsidRPr="0028472C">
        <w:rPr>
          <w:rFonts w:ascii="David" w:hAnsi="David" w:cs="David"/>
        </w:rPr>
        <w:t>;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"מפקח" – אדם שהורשה בכתב על ידי ראש המועצה למלא תפקיד מפקח לפי חוק עזר זה.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ההיטל ושיעורו</w:t>
      </w:r>
    </w:p>
    <w:p w:rsidR="00024784" w:rsidRPr="006D2FA8" w:rsidRDefault="006D2FA8" w:rsidP="006D2FA8">
      <w:pPr>
        <w:bidi/>
        <w:spacing w:after="0"/>
        <w:ind w:left="284" w:hanging="284"/>
        <w:rPr>
          <w:rFonts w:ascii="David" w:hAnsi="David" w:cs="David"/>
        </w:rPr>
      </w:pPr>
      <w:r>
        <w:rPr>
          <w:rFonts w:ascii="David" w:hAnsi="David" w:cs="David" w:hint="cs"/>
          <w:rtl/>
        </w:rPr>
        <w:t>2.</w:t>
      </w:r>
      <w:r>
        <w:rPr>
          <w:rFonts w:ascii="David" w:hAnsi="David" w:cs="David"/>
          <w:rtl/>
        </w:rPr>
        <w:tab/>
      </w:r>
      <w:r w:rsidR="00024784" w:rsidRPr="006D2FA8">
        <w:rPr>
          <w:rFonts w:ascii="David" w:hAnsi="David" w:cs="David"/>
          <w:rtl/>
        </w:rPr>
        <w:t xml:space="preserve">המנהל ישלם למועצה היטל לפי השיעור הנקוב בתוספת, על כל כרטיס הנמכר בכסף. ההיטל </w:t>
      </w:r>
      <w:proofErr w:type="spellStart"/>
      <w:r w:rsidR="00024784" w:rsidRPr="006D2FA8">
        <w:rPr>
          <w:rFonts w:ascii="David" w:hAnsi="David" w:cs="David"/>
          <w:rtl/>
        </w:rPr>
        <w:t>יצויין</w:t>
      </w:r>
      <w:proofErr w:type="spellEnd"/>
      <w:r w:rsidR="00024784" w:rsidRPr="006D2FA8">
        <w:rPr>
          <w:rFonts w:ascii="David" w:hAnsi="David" w:cs="David"/>
          <w:rtl/>
        </w:rPr>
        <w:t xml:space="preserve"> בהדבקת בול על הכרטיס.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כרטיסים</w:t>
      </w:r>
    </w:p>
    <w:p w:rsidR="00024784" w:rsidRPr="0028472C" w:rsidRDefault="00024784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3.</w:t>
      </w:r>
    </w:p>
    <w:p w:rsidR="006D2FA8" w:rsidRDefault="00024784" w:rsidP="006D2FA8">
      <w:pPr>
        <w:pStyle w:val="a9"/>
        <w:numPr>
          <w:ilvl w:val="0"/>
          <w:numId w:val="3"/>
        </w:numPr>
        <w:bidi/>
        <w:spacing w:after="0"/>
        <w:ind w:left="51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 xml:space="preserve">כרטיס הנמכר בכסף </w:t>
      </w:r>
      <w:proofErr w:type="spellStart"/>
      <w:r w:rsidRPr="006D2FA8">
        <w:rPr>
          <w:rFonts w:ascii="David" w:hAnsi="David" w:cs="David"/>
          <w:rtl/>
        </w:rPr>
        <w:t>יצויין</w:t>
      </w:r>
      <w:proofErr w:type="spellEnd"/>
      <w:r w:rsidRPr="006D2FA8">
        <w:rPr>
          <w:rFonts w:ascii="David" w:hAnsi="David" w:cs="David"/>
          <w:rtl/>
        </w:rPr>
        <w:t xml:space="preserve"> בו מחירו, יחובר אליו תשלום בקורת ויודבק עליו בול בסכום ההיטל החל על הכרטיס. הבול יבוטל אגב מכירת הכרטיס, בציון התאריך שבו יתקיים העינוג.</w:t>
      </w:r>
    </w:p>
    <w:p w:rsidR="00024784" w:rsidRPr="006D2FA8" w:rsidRDefault="00024784" w:rsidP="006D2FA8">
      <w:pPr>
        <w:pStyle w:val="a9"/>
        <w:numPr>
          <w:ilvl w:val="0"/>
          <w:numId w:val="3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t>לא ימכור אדם כרטיס ולא ירשה לאחר שימכרנו במחיר שלמעלה מן הנקוב בכרטיס ושלא בהתאם להוראות סעיף קטן (א).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כניסה לבית עינוג</w:t>
      </w:r>
    </w:p>
    <w:p w:rsidR="00024784" w:rsidRPr="0028472C" w:rsidRDefault="00024784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4.</w:t>
      </w:r>
    </w:p>
    <w:p w:rsidR="006D2FA8" w:rsidRDefault="00024784" w:rsidP="006D2FA8">
      <w:pPr>
        <w:pStyle w:val="a9"/>
        <w:numPr>
          <w:ilvl w:val="0"/>
          <w:numId w:val="5"/>
        </w:numPr>
        <w:bidi/>
        <w:spacing w:after="0"/>
        <w:ind w:left="51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 xml:space="preserve">בכניסה לבית עינוג יעמוד מבקר שיבדוק אם נתקיימו בכל כרטיס הוראות סעיף 3(א). מבקר הכרטיסים יתלוש מהכרטיס את תלוש </w:t>
      </w:r>
      <w:proofErr w:type="spellStart"/>
      <w:r w:rsidRPr="006D2FA8">
        <w:rPr>
          <w:rFonts w:ascii="David" w:hAnsi="David" w:cs="David"/>
          <w:rtl/>
        </w:rPr>
        <w:t>הבקורת</w:t>
      </w:r>
      <w:proofErr w:type="spellEnd"/>
      <w:r w:rsidRPr="006D2FA8">
        <w:rPr>
          <w:rFonts w:ascii="David" w:hAnsi="David" w:cs="David"/>
          <w:rtl/>
        </w:rPr>
        <w:t xml:space="preserve"> ויחזיר את הכרטיס לבעליו.</w:t>
      </w:r>
    </w:p>
    <w:p w:rsidR="006D2FA8" w:rsidRDefault="00024784" w:rsidP="006D2FA8">
      <w:pPr>
        <w:pStyle w:val="a9"/>
        <w:numPr>
          <w:ilvl w:val="0"/>
          <w:numId w:val="5"/>
        </w:numPr>
        <w:bidi/>
        <w:spacing w:after="0"/>
        <w:ind w:left="51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>בעל הכרטיס ישמרנו עד תום העינוג.</w:t>
      </w:r>
    </w:p>
    <w:p w:rsidR="00024784" w:rsidRPr="006D2FA8" w:rsidRDefault="00024784" w:rsidP="006D2FA8">
      <w:pPr>
        <w:pStyle w:val="a9"/>
        <w:numPr>
          <w:ilvl w:val="0"/>
          <w:numId w:val="5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t>לא יניחו לאדם שייכנס לבית עינוג אלא אם בידו כרטיס חינם או כרטיס שנתקיימו בו הוראות סעיף 3(א).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חובות המנהל</w:t>
      </w:r>
    </w:p>
    <w:p w:rsidR="00024784" w:rsidRPr="0028472C" w:rsidRDefault="00024784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5.</w:t>
      </w:r>
      <w:r w:rsidR="006D2FA8">
        <w:rPr>
          <w:rFonts w:ascii="David" w:hAnsi="David" w:cs="David"/>
          <w:rtl/>
        </w:rPr>
        <w:tab/>
      </w:r>
      <w:r w:rsidRPr="0028472C">
        <w:rPr>
          <w:rFonts w:ascii="David" w:hAnsi="David" w:cs="David"/>
          <w:rtl/>
        </w:rPr>
        <w:t xml:space="preserve">המנהל יעשה כל האפשר כדי להבטיח שהוראות הסעיפים 3, 4(א) ו-(ג) </w:t>
      </w:r>
      <w:proofErr w:type="spellStart"/>
      <w:r w:rsidRPr="0028472C">
        <w:rPr>
          <w:rFonts w:ascii="David" w:hAnsi="David" w:cs="David"/>
          <w:rtl/>
        </w:rPr>
        <w:t>יקויימו</w:t>
      </w:r>
      <w:proofErr w:type="spellEnd"/>
      <w:r w:rsidRPr="0028472C">
        <w:rPr>
          <w:rFonts w:ascii="David" w:hAnsi="David" w:cs="David"/>
          <w:rtl/>
        </w:rPr>
        <w:t>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בולים</w:t>
      </w:r>
    </w:p>
    <w:p w:rsidR="00024784" w:rsidRPr="0028472C" w:rsidRDefault="00024784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6.</w:t>
      </w:r>
    </w:p>
    <w:p w:rsidR="006D2FA8" w:rsidRDefault="00024784" w:rsidP="006D2FA8">
      <w:pPr>
        <w:pStyle w:val="a9"/>
        <w:numPr>
          <w:ilvl w:val="0"/>
          <w:numId w:val="7"/>
        </w:numPr>
        <w:bidi/>
        <w:spacing w:after="0"/>
        <w:ind w:left="51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>המועצה או המפקח יספקו בולים תמורת תשלום הסכום הנקוב בהם</w:t>
      </w:r>
      <w:r w:rsidRPr="006D2FA8">
        <w:rPr>
          <w:rFonts w:ascii="David" w:hAnsi="David" w:cs="David"/>
        </w:rPr>
        <w:t>;</w:t>
      </w:r>
      <w:r w:rsidRPr="006D2FA8">
        <w:rPr>
          <w:rFonts w:ascii="David" w:hAnsi="David" w:cs="David"/>
          <w:rtl/>
        </w:rPr>
        <w:t xml:space="preserve"> כן ישלמו תמורת בול שאינו משומש ואינו מקולקל את הסכום הנקוב בו, בניכוי שלושה אחוזים למאה, אם מבקש התשלום הוכיח – להנחת דעתם – שקנה את הבול מהם תוך שלושה חדשים שקדמו לבקשתו בכוונה להשתמש בו כדין.</w:t>
      </w:r>
    </w:p>
    <w:p w:rsidR="00024784" w:rsidRPr="006D2FA8" w:rsidRDefault="00024784" w:rsidP="006D2FA8">
      <w:pPr>
        <w:pStyle w:val="a9"/>
        <w:numPr>
          <w:ilvl w:val="0"/>
          <w:numId w:val="7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t>לא ידביק אדם על כרטיס בו משומש.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פטור והנחה</w:t>
      </w:r>
    </w:p>
    <w:p w:rsidR="00024784" w:rsidRPr="0028472C" w:rsidRDefault="00024784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7.</w:t>
      </w:r>
    </w:p>
    <w:p w:rsidR="00024784" w:rsidRPr="006D2FA8" w:rsidRDefault="00024784" w:rsidP="006D2FA8">
      <w:pPr>
        <w:pStyle w:val="a9"/>
        <w:numPr>
          <w:ilvl w:val="0"/>
          <w:numId w:val="9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t>המועצה רשאית לפטור מתשלום ההיטל או להפחית שיעורו בשלושה אלה:</w:t>
      </w:r>
    </w:p>
    <w:p w:rsidR="006D2FA8" w:rsidRDefault="00024784" w:rsidP="006D2FA8">
      <w:pPr>
        <w:pStyle w:val="a9"/>
        <w:numPr>
          <w:ilvl w:val="0"/>
          <w:numId w:val="10"/>
        </w:numPr>
        <w:bidi/>
        <w:spacing w:after="0"/>
        <w:ind w:left="85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>תחרות ספורט</w:t>
      </w:r>
      <w:r w:rsidRPr="006D2FA8">
        <w:rPr>
          <w:rFonts w:ascii="David" w:hAnsi="David" w:cs="David"/>
        </w:rPr>
        <w:t>;</w:t>
      </w:r>
    </w:p>
    <w:p w:rsidR="006D2FA8" w:rsidRDefault="00024784" w:rsidP="006D2FA8">
      <w:pPr>
        <w:pStyle w:val="a9"/>
        <w:numPr>
          <w:ilvl w:val="0"/>
          <w:numId w:val="10"/>
        </w:numPr>
        <w:bidi/>
        <w:spacing w:after="0"/>
        <w:ind w:left="85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>עינוג שהכנסתו נועדה לצרכי דת או צדקה</w:t>
      </w:r>
      <w:r w:rsidRPr="006D2FA8">
        <w:rPr>
          <w:rFonts w:ascii="David" w:hAnsi="David" w:cs="David"/>
        </w:rPr>
        <w:t>;</w:t>
      </w:r>
    </w:p>
    <w:p w:rsidR="00024784" w:rsidRPr="006D2FA8" w:rsidRDefault="00024784" w:rsidP="006D2FA8">
      <w:pPr>
        <w:pStyle w:val="a9"/>
        <w:numPr>
          <w:ilvl w:val="0"/>
          <w:numId w:val="10"/>
        </w:numPr>
        <w:bidi/>
        <w:spacing w:after="0"/>
        <w:ind w:left="85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t>עינוג שהוא, לדעת המועצה, בעל אופי תרבותי, חינוכי או אמנותי ושמטרתו העיקרית אינה עשיית רווחים.</w:t>
      </w:r>
    </w:p>
    <w:p w:rsidR="006D2FA8" w:rsidRDefault="00024784" w:rsidP="006D2FA8">
      <w:pPr>
        <w:pStyle w:val="a9"/>
        <w:numPr>
          <w:ilvl w:val="0"/>
          <w:numId w:val="9"/>
        </w:numPr>
        <w:bidi/>
        <w:spacing w:after="0"/>
        <w:ind w:left="51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 xml:space="preserve">הרוצה </w:t>
      </w:r>
      <w:proofErr w:type="spellStart"/>
      <w:r w:rsidRPr="006D2FA8">
        <w:rPr>
          <w:rFonts w:ascii="David" w:hAnsi="David" w:cs="David"/>
          <w:rtl/>
        </w:rPr>
        <w:t>להינות</w:t>
      </w:r>
      <w:proofErr w:type="spellEnd"/>
      <w:r w:rsidRPr="006D2FA8">
        <w:rPr>
          <w:rFonts w:ascii="David" w:hAnsi="David" w:cs="David"/>
          <w:rtl/>
        </w:rPr>
        <w:t xml:space="preserve"> מפטור או מהנחה לפי סעיף קטן (א) יגיש בקשה למועצה לפני שיתחיל במכירת הכרטיסים.</w:t>
      </w:r>
    </w:p>
    <w:p w:rsidR="00024784" w:rsidRPr="006D2FA8" w:rsidRDefault="00024784" w:rsidP="006D2FA8">
      <w:pPr>
        <w:pStyle w:val="a9"/>
        <w:numPr>
          <w:ilvl w:val="0"/>
          <w:numId w:val="9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lastRenderedPageBreak/>
        <w:t xml:space="preserve">המועצה רשאית להפחית את שיעור ההיטל לגבי כרטיסים הנמכרים לחיילי צבא-הגנה לישראל המציגים לקופאי את פנקס </w:t>
      </w:r>
      <w:proofErr w:type="spellStart"/>
      <w:r w:rsidRPr="006D2FA8">
        <w:rPr>
          <w:rFonts w:ascii="David" w:hAnsi="David" w:cs="David"/>
          <w:rtl/>
        </w:rPr>
        <w:t>המגויים</w:t>
      </w:r>
      <w:proofErr w:type="spellEnd"/>
      <w:r w:rsidRPr="006D2FA8">
        <w:rPr>
          <w:rFonts w:ascii="David" w:hAnsi="David" w:cs="David"/>
          <w:rtl/>
        </w:rPr>
        <w:t>.</w:t>
      </w:r>
    </w:p>
    <w:p w:rsidR="00024784" w:rsidRPr="0028472C" w:rsidRDefault="00024784" w:rsidP="006D2FA8">
      <w:pPr>
        <w:pStyle w:val="2"/>
        <w:rPr>
          <w:rtl/>
        </w:rPr>
      </w:pPr>
      <w:r w:rsidRPr="0028472C">
        <w:rPr>
          <w:rtl/>
        </w:rPr>
        <w:t>סמכויות המפקח</w:t>
      </w:r>
    </w:p>
    <w:p w:rsidR="00024784" w:rsidRPr="0028472C" w:rsidRDefault="00024784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8.</w:t>
      </w:r>
    </w:p>
    <w:p w:rsidR="006D2FA8" w:rsidRDefault="00024784" w:rsidP="006D2FA8">
      <w:pPr>
        <w:pStyle w:val="a9"/>
        <w:numPr>
          <w:ilvl w:val="0"/>
          <w:numId w:val="12"/>
        </w:numPr>
        <w:bidi/>
        <w:spacing w:after="0"/>
        <w:ind w:left="510" w:hanging="340"/>
        <w:rPr>
          <w:rFonts w:ascii="David" w:hAnsi="David" w:cs="David"/>
        </w:rPr>
      </w:pPr>
      <w:r w:rsidRPr="006D2FA8">
        <w:rPr>
          <w:rFonts w:ascii="David" w:hAnsi="David" w:cs="David"/>
          <w:rtl/>
        </w:rPr>
        <w:t>מפקח רשאי בכל עת להיכנס לבית עינוג ולבדוק כל כרטיס</w:t>
      </w:r>
      <w:r w:rsidR="0028472C" w:rsidRPr="006D2FA8">
        <w:rPr>
          <w:rFonts w:ascii="David" w:hAnsi="David" w:cs="David"/>
          <w:rtl/>
        </w:rPr>
        <w:t xml:space="preserve">, בין בקופה בין אצל מבקר הכרטיסים, הסדרן, הקונה או כל אדם אחר, כדי לברר אם </w:t>
      </w:r>
      <w:proofErr w:type="spellStart"/>
      <w:r w:rsidR="0028472C" w:rsidRPr="006D2FA8">
        <w:rPr>
          <w:rFonts w:ascii="David" w:hAnsi="David" w:cs="David"/>
          <w:rtl/>
        </w:rPr>
        <w:t>קויימו</w:t>
      </w:r>
      <w:proofErr w:type="spellEnd"/>
      <w:r w:rsidR="0028472C" w:rsidRPr="006D2FA8">
        <w:rPr>
          <w:rFonts w:ascii="David" w:hAnsi="David" w:cs="David"/>
          <w:rtl/>
        </w:rPr>
        <w:t xml:space="preserve"> הוראות חוק עזר זה, וכן רשאי הוא לתפוס ולעכב תחת ידו כל כרטיס העלול, לדעתו, לשמש ראיה לעבירה על הוראות חוק עזר זה.</w:t>
      </w:r>
    </w:p>
    <w:p w:rsidR="0028472C" w:rsidRPr="006D2FA8" w:rsidRDefault="0028472C" w:rsidP="006D2FA8">
      <w:pPr>
        <w:pStyle w:val="a9"/>
        <w:numPr>
          <w:ilvl w:val="0"/>
          <w:numId w:val="12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2FA8">
        <w:rPr>
          <w:rFonts w:ascii="David" w:hAnsi="David" w:cs="David"/>
          <w:rtl/>
        </w:rPr>
        <w:t>לא יפריע אדם למפקח ולא יימנע אותו מהשתמש בסמכויותיו לפי סעיף קטן (א).</w:t>
      </w:r>
    </w:p>
    <w:p w:rsidR="0028472C" w:rsidRPr="0028472C" w:rsidRDefault="0028472C" w:rsidP="006D2FA8">
      <w:pPr>
        <w:pStyle w:val="2"/>
        <w:rPr>
          <w:rtl/>
        </w:rPr>
      </w:pPr>
      <w:proofErr w:type="spellStart"/>
      <w:r w:rsidRPr="0028472C">
        <w:rPr>
          <w:rtl/>
        </w:rPr>
        <w:t>ענשים</w:t>
      </w:r>
      <w:proofErr w:type="spellEnd"/>
    </w:p>
    <w:p w:rsidR="0028472C" w:rsidRPr="0028472C" w:rsidRDefault="0028472C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9.</w:t>
      </w:r>
      <w:r w:rsidR="006D2FA8">
        <w:rPr>
          <w:rFonts w:ascii="David" w:hAnsi="David" w:cs="David"/>
          <w:rtl/>
        </w:rPr>
        <w:tab/>
      </w:r>
      <w:r w:rsidRPr="0028472C">
        <w:rPr>
          <w:rFonts w:ascii="David" w:hAnsi="David" w:cs="David"/>
          <w:rtl/>
        </w:rPr>
        <w:t>העובר על הוראה מהוראות חוק עזר זה, דינו – קנס עשרים לירות.</w:t>
      </w:r>
    </w:p>
    <w:p w:rsidR="0028472C" w:rsidRPr="0028472C" w:rsidRDefault="0028472C" w:rsidP="006D2FA8">
      <w:pPr>
        <w:pStyle w:val="2"/>
        <w:rPr>
          <w:rtl/>
        </w:rPr>
      </w:pPr>
      <w:r w:rsidRPr="0028472C">
        <w:rPr>
          <w:rtl/>
        </w:rPr>
        <w:t>השם</w:t>
      </w:r>
    </w:p>
    <w:p w:rsidR="0028472C" w:rsidRPr="0028472C" w:rsidRDefault="0028472C" w:rsidP="006D2FA8">
      <w:pPr>
        <w:bidi/>
        <w:spacing w:after="0"/>
        <w:ind w:left="284" w:hanging="284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10.</w:t>
      </w:r>
      <w:r w:rsidR="006D2FA8">
        <w:rPr>
          <w:rFonts w:ascii="David" w:hAnsi="David" w:cs="David"/>
          <w:rtl/>
        </w:rPr>
        <w:tab/>
      </w:r>
      <w:r w:rsidR="006D2FA8">
        <w:rPr>
          <w:rFonts w:ascii="David" w:hAnsi="David" w:cs="David" w:hint="cs"/>
          <w:rtl/>
        </w:rPr>
        <w:t>ל</w:t>
      </w:r>
      <w:r w:rsidRPr="0028472C">
        <w:rPr>
          <w:rFonts w:ascii="David" w:hAnsi="David" w:cs="David"/>
          <w:rtl/>
        </w:rPr>
        <w:t>חוק עזר זה ייקרא "חוק עזר לבאקה אל-</w:t>
      </w:r>
      <w:proofErr w:type="spellStart"/>
      <w:r w:rsidRPr="0028472C">
        <w:rPr>
          <w:rFonts w:ascii="David" w:hAnsi="David" w:cs="David"/>
          <w:rtl/>
        </w:rPr>
        <w:t>גרבייה</w:t>
      </w:r>
      <w:proofErr w:type="spellEnd"/>
      <w:r w:rsidRPr="0028472C">
        <w:rPr>
          <w:rFonts w:ascii="David" w:hAnsi="David" w:cs="David"/>
          <w:rtl/>
        </w:rPr>
        <w:t xml:space="preserve"> (היטל עינוגים), תשי"ח – 1957".</w:t>
      </w:r>
    </w:p>
    <w:p w:rsidR="0028472C" w:rsidRPr="006D2FA8" w:rsidRDefault="0028472C" w:rsidP="006D2FA8">
      <w:pPr>
        <w:pStyle w:val="2"/>
        <w:spacing w:after="120"/>
        <w:jc w:val="center"/>
        <w:rPr>
          <w:sz w:val="24"/>
          <w:szCs w:val="24"/>
          <w:rtl/>
        </w:rPr>
      </w:pPr>
      <w:r w:rsidRPr="006D2FA8">
        <w:rPr>
          <w:sz w:val="24"/>
          <w:szCs w:val="24"/>
          <w:rtl/>
        </w:rPr>
        <w:t>תוספת</w:t>
      </w:r>
    </w:p>
    <w:tbl>
      <w:tblPr>
        <w:tblStyle w:val="a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שיעור ההיטל לפי מחיר כרטיס"/>
      </w:tblPr>
      <w:tblGrid>
        <w:gridCol w:w="2927"/>
        <w:gridCol w:w="3402"/>
      </w:tblGrid>
      <w:tr w:rsidR="0028472C" w:rsidRPr="0028472C" w:rsidTr="006D2FA8">
        <w:trPr>
          <w:tblHeader/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u w:val="dash"/>
                <w:rtl/>
              </w:rPr>
            </w:pPr>
            <w:r w:rsidRPr="0028472C">
              <w:rPr>
                <w:rFonts w:ascii="David" w:hAnsi="David" w:cs="David"/>
                <w:u w:val="dash"/>
                <w:rtl/>
              </w:rPr>
              <w:t>כרטיס שמחירו באגורות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u w:val="dash"/>
                <w:rtl/>
              </w:rPr>
            </w:pPr>
            <w:r w:rsidRPr="0028472C">
              <w:rPr>
                <w:rFonts w:ascii="David" w:hAnsi="David" w:cs="David"/>
                <w:u w:val="dash"/>
                <w:rtl/>
              </w:rPr>
              <w:t>שיעור ההיטל באגורות</w:t>
            </w:r>
          </w:p>
        </w:tc>
      </w:tr>
      <w:tr w:rsidR="0028472C" w:rsidRPr="0028472C" w:rsidTr="006D2FA8">
        <w:trPr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עד 27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8</w:t>
            </w:r>
          </w:p>
        </w:tc>
      </w:tr>
      <w:tr w:rsidR="0028472C" w:rsidRPr="0028472C" w:rsidTr="006D2FA8">
        <w:trPr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למעלה מ-27 עד 31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10</w:t>
            </w:r>
          </w:p>
        </w:tc>
      </w:tr>
      <w:tr w:rsidR="0028472C" w:rsidRPr="0028472C" w:rsidTr="006D2FA8">
        <w:trPr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למעלה מ-31 עד 37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15</w:t>
            </w:r>
          </w:p>
        </w:tc>
      </w:tr>
      <w:tr w:rsidR="0028472C" w:rsidRPr="0028472C" w:rsidTr="006D2FA8">
        <w:trPr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למעלה מ-37 עד 44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25</w:t>
            </w:r>
          </w:p>
        </w:tc>
      </w:tr>
      <w:tr w:rsidR="0028472C" w:rsidRPr="0028472C" w:rsidTr="006D2FA8">
        <w:trPr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למעלה מ-44 עד 52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35</w:t>
            </w:r>
          </w:p>
        </w:tc>
      </w:tr>
      <w:tr w:rsidR="0028472C" w:rsidRPr="0028472C" w:rsidTr="006D2FA8">
        <w:trPr>
          <w:jc w:val="center"/>
        </w:trPr>
        <w:tc>
          <w:tcPr>
            <w:tcW w:w="2927" w:type="dxa"/>
          </w:tcPr>
          <w:p w:rsidR="0028472C" w:rsidRPr="0028472C" w:rsidRDefault="0028472C" w:rsidP="006D2FA8">
            <w:pPr>
              <w:bidi/>
              <w:spacing w:before="40" w:after="40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למעלה מ-52</w:t>
            </w:r>
          </w:p>
        </w:tc>
        <w:tc>
          <w:tcPr>
            <w:tcW w:w="3402" w:type="dxa"/>
          </w:tcPr>
          <w:p w:rsidR="0028472C" w:rsidRPr="0028472C" w:rsidRDefault="0028472C" w:rsidP="006D2FA8">
            <w:pPr>
              <w:bidi/>
              <w:spacing w:before="40" w:after="40"/>
              <w:jc w:val="center"/>
              <w:rPr>
                <w:rFonts w:ascii="David" w:hAnsi="David" w:cs="David"/>
                <w:rtl/>
              </w:rPr>
            </w:pPr>
            <w:r w:rsidRPr="0028472C">
              <w:rPr>
                <w:rFonts w:ascii="David" w:hAnsi="David" w:cs="David"/>
                <w:rtl/>
              </w:rPr>
              <w:t>45</w:t>
            </w:r>
          </w:p>
        </w:tc>
      </w:tr>
    </w:tbl>
    <w:p w:rsidR="0028472C" w:rsidRPr="006D2FA8" w:rsidRDefault="0028472C" w:rsidP="006D2FA8">
      <w:pPr>
        <w:bidi/>
        <w:spacing w:before="360" w:after="0"/>
        <w:ind w:left="4206"/>
        <w:jc w:val="center"/>
        <w:rPr>
          <w:rFonts w:ascii="David" w:hAnsi="David" w:cs="David"/>
          <w:b/>
          <w:bCs/>
          <w:rtl/>
        </w:rPr>
      </w:pPr>
      <w:r w:rsidRPr="006D2FA8">
        <w:rPr>
          <w:rFonts w:ascii="David" w:hAnsi="David" w:cs="David"/>
          <w:b/>
          <w:bCs/>
          <w:rtl/>
        </w:rPr>
        <w:t xml:space="preserve">זכי עבדאללה </w:t>
      </w:r>
      <w:proofErr w:type="spellStart"/>
      <w:r w:rsidRPr="006D2FA8">
        <w:rPr>
          <w:rFonts w:ascii="David" w:hAnsi="David" w:cs="David"/>
          <w:b/>
          <w:bCs/>
          <w:rtl/>
        </w:rPr>
        <w:t>עוויסאת</w:t>
      </w:r>
      <w:proofErr w:type="spellEnd"/>
    </w:p>
    <w:p w:rsidR="0028472C" w:rsidRPr="006D2FA8" w:rsidRDefault="0028472C" w:rsidP="006D2FA8">
      <w:pPr>
        <w:bidi/>
        <w:spacing w:after="0"/>
        <w:ind w:left="4206"/>
        <w:jc w:val="center"/>
        <w:rPr>
          <w:rFonts w:ascii="David" w:hAnsi="David" w:cs="David"/>
          <w:b/>
          <w:bCs/>
          <w:rtl/>
        </w:rPr>
      </w:pPr>
      <w:r w:rsidRPr="006D2FA8">
        <w:rPr>
          <w:rFonts w:ascii="David" w:hAnsi="David" w:cs="David"/>
          <w:b/>
          <w:bCs/>
          <w:rtl/>
        </w:rPr>
        <w:t>ראש המועצה המקומית באקה אל-</w:t>
      </w:r>
      <w:proofErr w:type="spellStart"/>
      <w:r w:rsidRPr="006D2FA8">
        <w:rPr>
          <w:rFonts w:ascii="David" w:hAnsi="David" w:cs="David"/>
          <w:b/>
          <w:bCs/>
          <w:rtl/>
        </w:rPr>
        <w:t>גרבייה</w:t>
      </w:r>
      <w:proofErr w:type="spellEnd"/>
    </w:p>
    <w:p w:rsidR="0028472C" w:rsidRPr="0028472C" w:rsidRDefault="0028472C" w:rsidP="006D2FA8">
      <w:pPr>
        <w:bidi/>
        <w:spacing w:before="240" w:after="0"/>
        <w:rPr>
          <w:rFonts w:ascii="David" w:hAnsi="David" w:cs="David"/>
          <w:rtl/>
        </w:rPr>
      </w:pPr>
      <w:proofErr w:type="spellStart"/>
      <w:r w:rsidRPr="0028472C">
        <w:rPr>
          <w:rFonts w:ascii="David" w:hAnsi="David" w:cs="David"/>
          <w:rtl/>
        </w:rPr>
        <w:t>נתאשר</w:t>
      </w:r>
      <w:proofErr w:type="spellEnd"/>
      <w:r w:rsidRPr="0028472C">
        <w:rPr>
          <w:rFonts w:ascii="David" w:hAnsi="David" w:cs="David"/>
          <w:rtl/>
        </w:rPr>
        <w:t>.</w:t>
      </w:r>
    </w:p>
    <w:p w:rsidR="0028472C" w:rsidRPr="0028472C" w:rsidRDefault="0028472C" w:rsidP="006D2FA8">
      <w:pPr>
        <w:bidi/>
        <w:spacing w:after="0"/>
        <w:rPr>
          <w:rFonts w:ascii="David" w:hAnsi="David" w:cs="David"/>
          <w:rtl/>
        </w:rPr>
      </w:pPr>
      <w:r w:rsidRPr="0028472C">
        <w:rPr>
          <w:rFonts w:ascii="David" w:hAnsi="David" w:cs="David"/>
          <w:rtl/>
        </w:rPr>
        <w:t>ח' בתשרי תשי"ח (3 באוקטובר 1957)</w:t>
      </w:r>
    </w:p>
    <w:p w:rsidR="0028472C" w:rsidRPr="006D2FA8" w:rsidRDefault="0028472C" w:rsidP="006D2FA8">
      <w:pPr>
        <w:bidi/>
        <w:spacing w:before="240" w:after="0"/>
        <w:jc w:val="center"/>
        <w:rPr>
          <w:rFonts w:ascii="David" w:hAnsi="David" w:cs="David"/>
          <w:b/>
          <w:bCs/>
          <w:rtl/>
        </w:rPr>
      </w:pPr>
      <w:r w:rsidRPr="006D2FA8">
        <w:rPr>
          <w:rFonts w:ascii="David" w:hAnsi="David" w:cs="David"/>
          <w:b/>
          <w:bCs/>
          <w:rtl/>
        </w:rPr>
        <w:t>ישראל בר-יהודה</w:t>
      </w:r>
    </w:p>
    <w:p w:rsidR="0028472C" w:rsidRPr="006D2FA8" w:rsidRDefault="0028472C" w:rsidP="006D2FA8">
      <w:pPr>
        <w:bidi/>
        <w:spacing w:after="0"/>
        <w:jc w:val="center"/>
        <w:rPr>
          <w:rFonts w:ascii="David" w:hAnsi="David" w:cs="David"/>
          <w:b/>
          <w:bCs/>
          <w:rtl/>
        </w:rPr>
      </w:pPr>
      <w:r w:rsidRPr="006D2FA8">
        <w:rPr>
          <w:rFonts w:ascii="David" w:hAnsi="David" w:cs="David"/>
          <w:b/>
          <w:bCs/>
          <w:rtl/>
        </w:rPr>
        <w:t>שר הפנים</w:t>
      </w:r>
    </w:p>
    <w:sectPr w:rsidR="0028472C" w:rsidRPr="006D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5D9" w:rsidRDefault="000C75D9" w:rsidP="00024784">
      <w:pPr>
        <w:spacing w:after="0" w:line="240" w:lineRule="auto"/>
      </w:pPr>
      <w:r>
        <w:separator/>
      </w:r>
    </w:p>
  </w:endnote>
  <w:endnote w:type="continuationSeparator" w:id="0">
    <w:p w:rsidR="000C75D9" w:rsidRDefault="000C75D9" w:rsidP="0002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5D9" w:rsidRDefault="000C75D9" w:rsidP="00024784">
      <w:pPr>
        <w:spacing w:after="0" w:line="240" w:lineRule="auto"/>
      </w:pPr>
      <w:r>
        <w:separator/>
      </w:r>
    </w:p>
  </w:footnote>
  <w:footnote w:type="continuationSeparator" w:id="0">
    <w:p w:rsidR="000C75D9" w:rsidRDefault="000C75D9" w:rsidP="00024784">
      <w:pPr>
        <w:spacing w:after="0" w:line="240" w:lineRule="auto"/>
      </w:pPr>
      <w:r>
        <w:continuationSeparator/>
      </w:r>
    </w:p>
  </w:footnote>
  <w:footnote w:id="1">
    <w:p w:rsidR="00024784" w:rsidRPr="006D2FA8" w:rsidRDefault="00024784" w:rsidP="00024784">
      <w:pPr>
        <w:pStyle w:val="aa"/>
        <w:bidi/>
        <w:rPr>
          <w:rFonts w:ascii="David" w:hAnsi="David" w:cs="David"/>
          <w:sz w:val="16"/>
          <w:szCs w:val="16"/>
          <w:rtl/>
        </w:rPr>
      </w:pPr>
      <w:r w:rsidRPr="006D2FA8">
        <w:rPr>
          <w:rStyle w:val="ac"/>
          <w:rFonts w:ascii="David" w:hAnsi="David" w:cs="David"/>
          <w:sz w:val="16"/>
          <w:szCs w:val="16"/>
        </w:rPr>
        <w:footnoteRef/>
      </w:r>
      <w:r w:rsidRPr="006D2FA8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6D2FA8">
        <w:rPr>
          <w:rFonts w:ascii="David" w:hAnsi="David" w:cs="David"/>
          <w:sz w:val="16"/>
          <w:szCs w:val="16"/>
          <w:rtl/>
        </w:rPr>
        <w:t>ע"ר</w:t>
      </w:r>
      <w:proofErr w:type="spellEnd"/>
      <w:r w:rsidRPr="006D2FA8">
        <w:rPr>
          <w:rFonts w:ascii="David" w:hAnsi="David" w:cs="David"/>
          <w:sz w:val="16"/>
          <w:szCs w:val="16"/>
          <w:rtl/>
        </w:rPr>
        <w:t xml:space="preserve"> 1941, </w:t>
      </w:r>
      <w:proofErr w:type="spellStart"/>
      <w:r w:rsidRPr="006D2FA8">
        <w:rPr>
          <w:rFonts w:ascii="David" w:hAnsi="David" w:cs="David"/>
          <w:sz w:val="16"/>
          <w:szCs w:val="16"/>
          <w:rtl/>
        </w:rPr>
        <w:t>תוס</w:t>
      </w:r>
      <w:proofErr w:type="spellEnd"/>
      <w:r w:rsidRPr="006D2FA8">
        <w:rPr>
          <w:rFonts w:ascii="David" w:hAnsi="David" w:cs="David"/>
          <w:sz w:val="16"/>
          <w:szCs w:val="16"/>
          <w:rtl/>
        </w:rPr>
        <w:t>' 1 מס' 1154, עמ' 119.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239"/>
    <w:multiLevelType w:val="hybridMultilevel"/>
    <w:tmpl w:val="3C782CE2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64F"/>
    <w:multiLevelType w:val="hybridMultilevel"/>
    <w:tmpl w:val="A36ABBFE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797"/>
    <w:multiLevelType w:val="hybridMultilevel"/>
    <w:tmpl w:val="0E8673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6BC1"/>
    <w:multiLevelType w:val="hybridMultilevel"/>
    <w:tmpl w:val="674ADABA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0C73"/>
    <w:multiLevelType w:val="hybridMultilevel"/>
    <w:tmpl w:val="A018675E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4F72"/>
    <w:multiLevelType w:val="hybridMultilevel"/>
    <w:tmpl w:val="8A08BF8E"/>
    <w:lvl w:ilvl="0" w:tplc="27C05E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2D92"/>
    <w:multiLevelType w:val="hybridMultilevel"/>
    <w:tmpl w:val="EEAA9E7E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339B0"/>
    <w:multiLevelType w:val="hybridMultilevel"/>
    <w:tmpl w:val="C8389128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C7DFB"/>
    <w:multiLevelType w:val="hybridMultilevel"/>
    <w:tmpl w:val="853E371C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0766"/>
    <w:multiLevelType w:val="hybridMultilevel"/>
    <w:tmpl w:val="E84670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E6677"/>
    <w:multiLevelType w:val="hybridMultilevel"/>
    <w:tmpl w:val="68865078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11AF3"/>
    <w:multiLevelType w:val="hybridMultilevel"/>
    <w:tmpl w:val="36942204"/>
    <w:lvl w:ilvl="0" w:tplc="FD4251A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92"/>
    <w:rsid w:val="00024784"/>
    <w:rsid w:val="000C75D9"/>
    <w:rsid w:val="002772D8"/>
    <w:rsid w:val="0028472C"/>
    <w:rsid w:val="006D2FA8"/>
    <w:rsid w:val="00A97D31"/>
    <w:rsid w:val="00B5232C"/>
    <w:rsid w:val="00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E615"/>
  <w15:chartTrackingRefBased/>
  <w15:docId w15:val="{E507D6B0-0B0E-4DAA-B635-9C47F9D6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232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8472C"/>
    <w:pPr>
      <w:bidi/>
      <w:jc w:val="center"/>
      <w:outlineLvl w:val="0"/>
    </w:pPr>
    <w:rPr>
      <w:rFonts w:ascii="David" w:hAnsi="David" w:cs="David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D2FA8"/>
    <w:pPr>
      <w:bidi/>
      <w:spacing w:before="240" w:after="0"/>
      <w:outlineLvl w:val="1"/>
    </w:pPr>
    <w:rPr>
      <w:rFonts w:ascii="David" w:hAnsi="David"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5232C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5232C"/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5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5232C"/>
    <w:rPr>
      <w:rFonts w:ascii="Tahoma" w:eastAsiaTheme="minorEastAsia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B5232C"/>
    <w:pPr>
      <w:spacing w:after="160" w:line="259" w:lineRule="auto"/>
      <w:ind w:left="720"/>
      <w:contextualSpacing/>
    </w:pPr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024784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024784"/>
    <w:rPr>
      <w:rFonts w:eastAsiaTheme="minorEastAsia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024784"/>
    <w:rPr>
      <w:vertAlign w:val="superscript"/>
    </w:rPr>
  </w:style>
  <w:style w:type="table" w:styleId="ad">
    <w:name w:val="Table Grid"/>
    <w:basedOn w:val="a1"/>
    <w:uiPriority w:val="59"/>
    <w:rsid w:val="0028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28472C"/>
    <w:rPr>
      <w:rFonts w:ascii="David" w:eastAsiaTheme="minorEastAsia" w:hAnsi="David" w:cs="David"/>
      <w:b/>
      <w:bCs/>
      <w:sz w:val="24"/>
      <w:szCs w:val="24"/>
      <w:lang w:val="en-US"/>
    </w:rPr>
  </w:style>
  <w:style w:type="character" w:customStyle="1" w:styleId="20">
    <w:name w:val="כותרת 2 תו"/>
    <w:basedOn w:val="a0"/>
    <w:link w:val="2"/>
    <w:uiPriority w:val="9"/>
    <w:rsid w:val="006D2FA8"/>
    <w:rPr>
      <w:rFonts w:ascii="David" w:eastAsiaTheme="minorEastAsia" w:hAnsi="David" w:cs="David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0D3939-CDFE-4946-87B7-1FBEA5268C39}"/>
</file>

<file path=customXml/itemProps2.xml><?xml version="1.0" encoding="utf-8"?>
<ds:datastoreItem xmlns:ds="http://schemas.openxmlformats.org/officeDocument/2006/customXml" ds:itemID="{3474DE77-05A4-4BB1-9F0E-D1C50A9DB578}"/>
</file>

<file path=customXml/itemProps3.xml><?xml version="1.0" encoding="utf-8"?>
<ds:datastoreItem xmlns:ds="http://schemas.openxmlformats.org/officeDocument/2006/customXml" ds:itemID="{E52A10A5-A762-42AB-BA34-07B10B3237CE}"/>
</file>

<file path=customXml/itemProps4.xml><?xml version="1.0" encoding="utf-8"?>
<ds:datastoreItem xmlns:ds="http://schemas.openxmlformats.org/officeDocument/2006/customXml" ds:itemID="{D11A2D55-7049-47E5-A106-E662B7AC5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לבאקה אל-גרבייה בדבר היטל עינוגים</dc:title>
  <dc:subject/>
  <dc:creator>Ester</dc:creator>
  <cp:keywords/>
  <dc:description/>
  <cp:lastModifiedBy>Ester</cp:lastModifiedBy>
  <cp:revision>3</cp:revision>
  <dcterms:created xsi:type="dcterms:W3CDTF">2018-01-10T16:12:00Z</dcterms:created>
  <dcterms:modified xsi:type="dcterms:W3CDTF">2018-01-10T16:43:00Z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