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47" w:rsidRPr="00BB0047" w:rsidRDefault="00BB0047" w:rsidP="00BB0047">
      <w:pPr>
        <w:pStyle w:val="1"/>
        <w:spacing w:after="360"/>
      </w:pPr>
      <w:bookmarkStart w:id="0" w:name="_GoBack"/>
      <w:r w:rsidRPr="00BB0047">
        <w:rPr>
          <w:rFonts w:hint="cs"/>
          <w:rtl/>
        </w:rPr>
        <w:t>חוק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עזר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לבאקה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ג</w:t>
      </w:r>
      <w:r w:rsidRPr="00BB0047">
        <w:rPr>
          <w:rtl/>
        </w:rPr>
        <w:t>'</w:t>
      </w:r>
      <w:r w:rsidRPr="00BB0047">
        <w:rPr>
          <w:rFonts w:hint="cs"/>
          <w:rtl/>
        </w:rPr>
        <w:t>ת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(אגרת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תעודת</w:t>
      </w:r>
      <w:r w:rsidRPr="00BB0047">
        <w:rPr>
          <w:rtl/>
        </w:rPr>
        <w:t xml:space="preserve"> </w:t>
      </w:r>
      <w:r w:rsidRPr="00BB0047">
        <w:rPr>
          <w:rFonts w:hint="cs"/>
          <w:rtl/>
        </w:rPr>
        <w:t>אישור)</w:t>
      </w:r>
      <w:r w:rsidRPr="00BB0047">
        <w:rPr>
          <w:rtl/>
        </w:rPr>
        <w:t xml:space="preserve">, </w:t>
      </w:r>
      <w:proofErr w:type="spellStart"/>
      <w:r w:rsidRPr="00BB0047">
        <w:rPr>
          <w:rFonts w:hint="cs"/>
          <w:rtl/>
        </w:rPr>
        <w:t>התשס</w:t>
      </w:r>
      <w:r w:rsidRPr="00BB0047">
        <w:rPr>
          <w:rtl/>
        </w:rPr>
        <w:t>"</w:t>
      </w:r>
      <w:r w:rsidRPr="00BB0047">
        <w:rPr>
          <w:rFonts w:hint="cs"/>
          <w:rtl/>
        </w:rPr>
        <w:t>ח</w:t>
      </w:r>
      <w:proofErr w:type="spellEnd"/>
      <w:r w:rsidRPr="00BB0047">
        <w:rPr>
          <w:rFonts w:hint="cs"/>
          <w:rtl/>
        </w:rPr>
        <w:t xml:space="preserve"> - 2007</w:t>
      </w:r>
    </w:p>
    <w:bookmarkEnd w:id="0"/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rPr>
          <w:rFonts w:ascii="David" w:eastAsiaTheme="minorHAnsi" w:hAnsi="David" w:cs="David"/>
          <w:b/>
          <w:bCs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בתוקף סמכותה לפי סעיפים 250 ו</w:t>
      </w:r>
      <w:r w:rsidRPr="00BB0047">
        <w:rPr>
          <w:rFonts w:ascii="David" w:eastAsiaTheme="minorHAnsi" w:hAnsi="David" w:cs="David"/>
          <w:b/>
          <w:bCs/>
          <w:rtl/>
          <w:lang w:val="en-IL"/>
        </w:rPr>
        <w:t xml:space="preserve">- 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251 לפקודת העיריות )להלן הפקודה(, מתקינה עיריית באקה</w:t>
      </w:r>
      <w:r>
        <w:rPr>
          <w:rFonts w:ascii="David" w:eastAsiaTheme="minorHAnsi" w:hAnsi="David" w:cs="David" w:hint="cs"/>
          <w:sz w:val="20"/>
          <w:szCs w:val="20"/>
          <w:rtl/>
          <w:lang w:val="en-IL"/>
        </w:rPr>
        <w:t>-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ג'ת חוק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rPr>
          <w:rFonts w:ascii="David" w:eastAsiaTheme="minorHAnsi" w:hAnsi="David" w:cs="David"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עזר זה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>:</w:t>
      </w:r>
    </w:p>
    <w:p w:rsidR="00BB0047" w:rsidRPr="00BB0047" w:rsidRDefault="00BB0047" w:rsidP="00BB0047">
      <w:pPr>
        <w:pStyle w:val="2"/>
      </w:pPr>
      <w:r w:rsidRPr="00BB0047">
        <w:rPr>
          <w:rFonts w:hint="cs"/>
          <w:rtl/>
        </w:rPr>
        <w:t>הגדרות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before="60" w:after="60" w:line="240" w:lineRule="auto"/>
        <w:ind w:left="284" w:hanging="284"/>
        <w:rPr>
          <w:rFonts w:ascii="David" w:eastAsiaTheme="minorHAnsi" w:hAnsi="David" w:cs="David"/>
          <w:sz w:val="16"/>
          <w:szCs w:val="16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1.</w:t>
      </w:r>
      <w:r>
        <w:rPr>
          <w:rFonts w:ascii="David" w:eastAsiaTheme="minorHAnsi" w:hAnsi="David" w:cs="David"/>
          <w:b/>
          <w:bCs/>
          <w:sz w:val="20"/>
          <w:szCs w:val="20"/>
          <w:lang w:val="en-IL"/>
        </w:rPr>
        <w:tab/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בחוק עזר זה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 xml:space="preserve"> </w:t>
      </w:r>
      <w:r w:rsidRPr="00BB0047">
        <w:rPr>
          <w:rFonts w:ascii="David" w:eastAsiaTheme="minorHAnsi" w:hAnsi="David" w:cs="David"/>
          <w:sz w:val="16"/>
          <w:szCs w:val="16"/>
          <w:lang w:val="en-IL"/>
        </w:rPr>
        <w:t>-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ind w:left="284" w:hanging="284"/>
        <w:rPr>
          <w:rFonts w:ascii="David" w:eastAsiaTheme="minorHAnsi" w:hAnsi="David" w:cs="David"/>
          <w:b/>
          <w:bCs/>
          <w:lang w:val="en-IL"/>
        </w:rPr>
      </w:pPr>
      <w:r w:rsidRPr="00BB0047">
        <w:rPr>
          <w:rFonts w:ascii="David" w:eastAsiaTheme="minorHAnsi" w:hAnsi="David" w:cs="David"/>
          <w:b/>
          <w:bCs/>
          <w:sz w:val="20"/>
          <w:szCs w:val="20"/>
          <w:lang w:val="en-IL"/>
        </w:rPr>
        <w:t>"</w:t>
      </w: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 xml:space="preserve">העיריה" </w:t>
      </w: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 xml:space="preserve">- 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עיריית באקה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-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ג'ת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>;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ind w:left="284" w:hanging="284"/>
        <w:rPr>
          <w:rFonts w:ascii="David" w:eastAsiaTheme="minorHAnsi" w:hAnsi="David" w:cs="David"/>
          <w:b/>
          <w:bCs/>
          <w:lang w:val="en-IL"/>
        </w:rPr>
      </w:pPr>
      <w:r w:rsidRPr="00BB0047">
        <w:rPr>
          <w:rFonts w:ascii="David" w:eastAsiaTheme="minorHAnsi" w:hAnsi="David" w:cs="David"/>
          <w:b/>
          <w:bCs/>
          <w:sz w:val="20"/>
          <w:szCs w:val="20"/>
          <w:lang w:val="en-IL"/>
        </w:rPr>
        <w:t>"</w:t>
      </w: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 xml:space="preserve">ראש העיריה" </w:t>
      </w:r>
      <w:r>
        <w:rPr>
          <w:rFonts w:ascii="David" w:eastAsiaTheme="minorHAnsi" w:hAnsi="David" w:cs="David" w:hint="cs"/>
          <w:b/>
          <w:bCs/>
          <w:sz w:val="20"/>
          <w:szCs w:val="20"/>
          <w:rtl/>
          <w:lang w:val="en-IL"/>
        </w:rPr>
        <w:t xml:space="preserve">- 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לרבות עובד העיריה שראש העיריה העביר אליו בכתב את סמכויותיו לפי חוק עזר זה, כולן או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ind w:left="568" w:hanging="284"/>
        <w:rPr>
          <w:rFonts w:ascii="David" w:eastAsiaTheme="minorHAnsi" w:hAnsi="David" w:cs="David"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מקצתן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>;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after="0" w:line="240" w:lineRule="auto"/>
        <w:ind w:left="284" w:hanging="284"/>
        <w:rPr>
          <w:rFonts w:ascii="David" w:eastAsiaTheme="minorHAnsi" w:hAnsi="David" w:cs="David"/>
          <w:b/>
          <w:bCs/>
          <w:lang w:val="en-IL"/>
        </w:rPr>
      </w:pPr>
      <w:r w:rsidRPr="00BB0047">
        <w:rPr>
          <w:rFonts w:ascii="David" w:eastAsiaTheme="minorHAnsi" w:hAnsi="David" w:cs="David"/>
          <w:b/>
          <w:bCs/>
          <w:sz w:val="20"/>
          <w:szCs w:val="20"/>
          <w:lang w:val="en-IL"/>
        </w:rPr>
        <w:t>"</w:t>
      </w: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 xml:space="preserve">תעודה" </w:t>
      </w: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 xml:space="preserve">- 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אישור בכתב בכל עניין שבסמכות העיריה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.</w:t>
      </w:r>
    </w:p>
    <w:p w:rsidR="00BB0047" w:rsidRPr="00BB0047" w:rsidRDefault="00BB0047" w:rsidP="00BB0047">
      <w:pPr>
        <w:pStyle w:val="2"/>
      </w:pPr>
      <w:r w:rsidRPr="00BB0047">
        <w:rPr>
          <w:rtl/>
        </w:rPr>
        <w:t>מתן תעודה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before="60" w:after="0" w:line="240" w:lineRule="auto"/>
        <w:ind w:left="284" w:hanging="284"/>
        <w:rPr>
          <w:rFonts w:ascii="David" w:eastAsiaTheme="minorHAnsi" w:hAnsi="David" w:cs="David"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2.</w:t>
      </w:r>
      <w:r>
        <w:rPr>
          <w:rFonts w:ascii="David" w:eastAsiaTheme="minorHAnsi" w:hAnsi="David" w:cs="David"/>
          <w:sz w:val="20"/>
          <w:szCs w:val="20"/>
          <w:lang w:val="en-IL"/>
        </w:rPr>
        <w:tab/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ראש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 xml:space="preserve"> העיריה רשאי לתת, לאשר או לקיים תעודה או העתק תעודה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>.</w:t>
      </w:r>
    </w:p>
    <w:p w:rsidR="00BB0047" w:rsidRPr="00BB0047" w:rsidRDefault="00BB0047" w:rsidP="00BB0047">
      <w:pPr>
        <w:pStyle w:val="2"/>
      </w:pPr>
      <w:r w:rsidRPr="00BB0047">
        <w:rPr>
          <w:rtl/>
        </w:rPr>
        <w:t>תשלום אגרה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before="60" w:after="0" w:line="240" w:lineRule="auto"/>
        <w:ind w:left="284" w:hanging="284"/>
        <w:rPr>
          <w:rFonts w:ascii="David" w:eastAsiaTheme="minorHAnsi" w:hAnsi="David" w:cs="David"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3.</w:t>
      </w:r>
      <w:r>
        <w:rPr>
          <w:rFonts w:ascii="David" w:eastAsiaTheme="minorHAnsi" w:hAnsi="David" w:cs="David"/>
          <w:b/>
          <w:bCs/>
          <w:sz w:val="20"/>
          <w:szCs w:val="20"/>
          <w:lang w:val="en-IL"/>
        </w:rPr>
        <w:tab/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 xml:space="preserve">המבקש מראש העיריה תעודה, ישלם </w:t>
      </w:r>
      <w:proofErr w:type="spellStart"/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לעיריה</w:t>
      </w:r>
      <w:proofErr w:type="spellEnd"/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 xml:space="preserve"> במועד מתן התעודה ומראש אגרה בשיעור הנקוב בתוספת</w:t>
      </w:r>
      <w:r w:rsidRPr="00BB0047">
        <w:rPr>
          <w:rFonts w:ascii="David" w:eastAsiaTheme="minorHAnsi" w:hAnsi="David" w:cs="David"/>
          <w:sz w:val="20"/>
          <w:szCs w:val="20"/>
          <w:lang w:val="en-IL"/>
        </w:rPr>
        <w:t>.</w:t>
      </w:r>
    </w:p>
    <w:p w:rsidR="00BB0047" w:rsidRPr="00BB0047" w:rsidRDefault="00BB0047" w:rsidP="00BB0047">
      <w:pPr>
        <w:pStyle w:val="2"/>
      </w:pPr>
      <w:r w:rsidRPr="00BB0047">
        <w:rPr>
          <w:rtl/>
        </w:rPr>
        <w:t>ביטול</w:t>
      </w:r>
    </w:p>
    <w:p w:rsidR="002772D8" w:rsidRPr="00BB0047" w:rsidRDefault="00BB0047" w:rsidP="00BB0047">
      <w:pPr>
        <w:bidi/>
        <w:spacing w:before="60" w:after="120"/>
        <w:ind w:left="284" w:hanging="284"/>
        <w:rPr>
          <w:rFonts w:ascii="David" w:eastAsiaTheme="minorHAnsi" w:hAnsi="David" w:cs="David"/>
          <w:sz w:val="20"/>
          <w:szCs w:val="20"/>
          <w:rtl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4.</w:t>
      </w:r>
      <w:r>
        <w:rPr>
          <w:rFonts w:ascii="David" w:eastAsiaTheme="minorHAnsi" w:hAnsi="David" w:cs="David"/>
          <w:sz w:val="20"/>
          <w:szCs w:val="20"/>
          <w:rtl/>
          <w:lang w:val="en-IL"/>
        </w:rPr>
        <w:tab/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בטלים –</w:t>
      </w:r>
    </w:p>
    <w:p w:rsidR="00BB0047" w:rsidRPr="00BB0047" w:rsidRDefault="00BB0047" w:rsidP="00BB0047">
      <w:pPr>
        <w:pStyle w:val="a9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568" w:hanging="284"/>
        <w:rPr>
          <w:rFonts w:ascii="David" w:hAnsi="David" w:cs="David"/>
          <w:lang w:val="en-IL"/>
        </w:rPr>
      </w:pPr>
      <w:r w:rsidRPr="00BB0047">
        <w:rPr>
          <w:rFonts w:ascii="David" w:hAnsi="David" w:cs="David"/>
          <w:rtl/>
          <w:lang w:val="en-IL"/>
        </w:rPr>
        <w:t xml:space="preserve">חוק עזר לג'ת </w:t>
      </w:r>
      <w:r w:rsidRPr="00BB0047">
        <w:rPr>
          <w:rFonts w:ascii="David" w:hAnsi="David" w:cs="David"/>
          <w:rtl/>
          <w:lang w:val="en-IL"/>
        </w:rPr>
        <w:t>(</w:t>
      </w:r>
      <w:r w:rsidRPr="00BB0047">
        <w:rPr>
          <w:rFonts w:ascii="David" w:hAnsi="David" w:cs="David"/>
          <w:rtl/>
          <w:lang w:val="en-IL"/>
        </w:rPr>
        <w:t>אגרת תעודת אישור</w:t>
      </w:r>
      <w:r w:rsidRPr="00BB0047">
        <w:rPr>
          <w:rFonts w:ascii="David" w:hAnsi="David" w:cs="David"/>
          <w:rtl/>
          <w:lang w:val="en-IL"/>
        </w:rPr>
        <w:t>)</w:t>
      </w:r>
      <w:r w:rsidRPr="00BB0047">
        <w:rPr>
          <w:rFonts w:ascii="David" w:hAnsi="David" w:cs="David"/>
          <w:rtl/>
          <w:lang w:val="en-IL"/>
        </w:rPr>
        <w:t xml:space="preserve">, </w:t>
      </w:r>
      <w:proofErr w:type="spellStart"/>
      <w:r w:rsidRPr="00BB0047">
        <w:rPr>
          <w:rFonts w:ascii="David" w:hAnsi="David" w:cs="David"/>
          <w:rtl/>
          <w:lang w:val="en-IL"/>
        </w:rPr>
        <w:t>התשל"ו</w:t>
      </w:r>
      <w:proofErr w:type="spellEnd"/>
      <w:r w:rsidRPr="00BB0047">
        <w:rPr>
          <w:rFonts w:ascii="David" w:hAnsi="David" w:cs="David"/>
          <w:rtl/>
          <w:lang w:val="en-IL"/>
        </w:rPr>
        <w:t xml:space="preserve"> – 1976.</w:t>
      </w:r>
    </w:p>
    <w:p w:rsidR="00BB0047" w:rsidRPr="00BB0047" w:rsidRDefault="00BB0047" w:rsidP="00BB0047">
      <w:pPr>
        <w:pStyle w:val="a9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568" w:hanging="284"/>
        <w:rPr>
          <w:rFonts w:ascii="David" w:hAnsi="David" w:cs="David"/>
          <w:lang w:val="en-IL"/>
        </w:rPr>
      </w:pPr>
      <w:r w:rsidRPr="00BB0047">
        <w:rPr>
          <w:rFonts w:ascii="David" w:hAnsi="David" w:cs="David"/>
          <w:rtl/>
          <w:lang w:val="en-IL"/>
        </w:rPr>
        <w:t xml:space="preserve">חוק עזר לבאקה </w:t>
      </w:r>
      <w:proofErr w:type="spellStart"/>
      <w:r w:rsidRPr="00BB0047">
        <w:rPr>
          <w:rFonts w:ascii="David" w:hAnsi="David" w:cs="David"/>
          <w:rtl/>
          <w:lang w:val="en-IL"/>
        </w:rPr>
        <w:t>אלגרבייה</w:t>
      </w:r>
      <w:proofErr w:type="spellEnd"/>
      <w:r w:rsidRPr="00BB0047">
        <w:rPr>
          <w:rFonts w:ascii="David" w:hAnsi="David" w:cs="David"/>
          <w:rtl/>
          <w:lang w:val="en-IL"/>
        </w:rPr>
        <w:t xml:space="preserve"> </w:t>
      </w:r>
      <w:r w:rsidRPr="00BB0047">
        <w:rPr>
          <w:rFonts w:ascii="David" w:hAnsi="David" w:cs="David"/>
          <w:rtl/>
          <w:lang w:val="en-IL"/>
        </w:rPr>
        <w:t>(</w:t>
      </w:r>
      <w:r w:rsidRPr="00BB0047">
        <w:rPr>
          <w:rFonts w:ascii="David" w:hAnsi="David" w:cs="David"/>
          <w:rtl/>
          <w:lang w:val="en-IL"/>
        </w:rPr>
        <w:t>אגרת תעודת אישור</w:t>
      </w:r>
      <w:r w:rsidRPr="00BB0047">
        <w:rPr>
          <w:rFonts w:ascii="David" w:hAnsi="David" w:cs="David"/>
          <w:rtl/>
          <w:lang w:val="en-IL"/>
        </w:rPr>
        <w:t>)</w:t>
      </w:r>
      <w:r w:rsidRPr="00BB0047">
        <w:rPr>
          <w:rFonts w:ascii="David" w:hAnsi="David" w:cs="David"/>
          <w:rtl/>
          <w:lang w:val="en-IL"/>
        </w:rPr>
        <w:t xml:space="preserve">, </w:t>
      </w:r>
      <w:proofErr w:type="spellStart"/>
      <w:r w:rsidRPr="00BB0047">
        <w:rPr>
          <w:rFonts w:ascii="David" w:hAnsi="David" w:cs="David"/>
          <w:rtl/>
          <w:lang w:val="en-IL"/>
        </w:rPr>
        <w:t>התש"ם</w:t>
      </w:r>
      <w:proofErr w:type="spellEnd"/>
      <w:r w:rsidRPr="00BB0047">
        <w:rPr>
          <w:rFonts w:ascii="David" w:hAnsi="David" w:cs="David"/>
          <w:rtl/>
          <w:lang w:val="en-IL"/>
        </w:rPr>
        <w:t xml:space="preserve"> – 1980.</w:t>
      </w:r>
    </w:p>
    <w:p w:rsidR="00BB0047" w:rsidRPr="00BB0047" w:rsidRDefault="00BB0047" w:rsidP="00BB0047">
      <w:pPr>
        <w:pStyle w:val="2"/>
        <w:spacing w:before="360"/>
        <w:jc w:val="center"/>
        <w:rPr>
          <w:sz w:val="28"/>
          <w:szCs w:val="28"/>
        </w:rPr>
      </w:pPr>
      <w:r w:rsidRPr="00BB0047">
        <w:rPr>
          <w:sz w:val="28"/>
          <w:szCs w:val="28"/>
          <w:rtl/>
        </w:rPr>
        <w:t>תוספת</w:t>
      </w:r>
    </w:p>
    <w:p w:rsidR="00BB0047" w:rsidRPr="00BB0047" w:rsidRDefault="00BB0047" w:rsidP="00BB0047">
      <w:pPr>
        <w:pStyle w:val="3"/>
        <w:rPr>
          <w:rtl/>
        </w:rPr>
      </w:pPr>
      <w:r w:rsidRPr="00BB0047">
        <w:rPr>
          <w:rFonts w:hint="cs"/>
          <w:rtl/>
        </w:rPr>
        <w:t>(סעיף 3)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שיעורי האגרה לתעודות"/>
      </w:tblPr>
      <w:tblGrid>
        <w:gridCol w:w="4508"/>
        <w:gridCol w:w="4508"/>
      </w:tblGrid>
      <w:tr w:rsidR="00BB0047" w:rsidRPr="00BB0047" w:rsidTr="00BB0047"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rPr>
                <w:rFonts w:ascii="David" w:hAnsi="David" w:cs="David"/>
                <w:rtl/>
              </w:rPr>
            </w:pPr>
          </w:p>
        </w:tc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jc w:val="center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שיעורי האגרה בשקלים חדשים</w:t>
            </w:r>
          </w:p>
        </w:tc>
      </w:tr>
      <w:tr w:rsidR="00BB0047" w:rsidRPr="00BB0047" w:rsidTr="00BB0047">
        <w:tc>
          <w:tcPr>
            <w:tcW w:w="4508" w:type="dxa"/>
          </w:tcPr>
          <w:p w:rsidR="00BB0047" w:rsidRPr="00BB0047" w:rsidRDefault="00BB0047" w:rsidP="00BB0047">
            <w:pPr>
              <w:pStyle w:val="a9"/>
              <w:numPr>
                <w:ilvl w:val="0"/>
                <w:numId w:val="3"/>
              </w:numPr>
              <w:bidi/>
              <w:spacing w:before="120" w:after="0" w:line="240" w:lineRule="auto"/>
              <w:ind w:left="398"/>
              <w:contextualSpacing w:val="0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תעודה:</w:t>
            </w:r>
          </w:p>
        </w:tc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jc w:val="center"/>
              <w:rPr>
                <w:rFonts w:ascii="David" w:hAnsi="David" w:cs="David"/>
                <w:rtl/>
              </w:rPr>
            </w:pPr>
          </w:p>
        </w:tc>
      </w:tr>
      <w:tr w:rsidR="00BB0047" w:rsidRPr="00BB0047" w:rsidTr="00BB0047">
        <w:tc>
          <w:tcPr>
            <w:tcW w:w="4508" w:type="dxa"/>
          </w:tcPr>
          <w:p w:rsidR="00BB0047" w:rsidRPr="00BB0047" w:rsidRDefault="00BB0047" w:rsidP="00BB0047">
            <w:pPr>
              <w:pStyle w:val="a9"/>
              <w:numPr>
                <w:ilvl w:val="0"/>
                <w:numId w:val="4"/>
              </w:numPr>
              <w:bidi/>
              <w:spacing w:before="120" w:after="0" w:line="240" w:lineRule="auto"/>
              <w:contextualSpacing w:val="0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בעניין הנוגע למקרקעין, לבניינים או לירושות</w:t>
            </w:r>
          </w:p>
        </w:tc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jc w:val="center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60</w:t>
            </w:r>
          </w:p>
        </w:tc>
      </w:tr>
      <w:tr w:rsidR="00BB0047" w:rsidRPr="00BB0047" w:rsidTr="00BB0047">
        <w:tc>
          <w:tcPr>
            <w:tcW w:w="4508" w:type="dxa"/>
          </w:tcPr>
          <w:p w:rsidR="00BB0047" w:rsidRPr="00BB0047" w:rsidRDefault="00BB0047" w:rsidP="00BB0047">
            <w:pPr>
              <w:pStyle w:val="a9"/>
              <w:numPr>
                <w:ilvl w:val="0"/>
                <w:numId w:val="4"/>
              </w:numPr>
              <w:bidi/>
              <w:spacing w:before="120" w:after="0" w:line="240" w:lineRule="auto"/>
              <w:contextualSpacing w:val="0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בכל עניין אחר</w:t>
            </w:r>
          </w:p>
        </w:tc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jc w:val="center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50</w:t>
            </w:r>
          </w:p>
        </w:tc>
      </w:tr>
      <w:tr w:rsidR="00BB0047" w:rsidRPr="00BB0047" w:rsidTr="00BB0047">
        <w:tc>
          <w:tcPr>
            <w:tcW w:w="4508" w:type="dxa"/>
          </w:tcPr>
          <w:p w:rsidR="00BB0047" w:rsidRPr="00BB0047" w:rsidRDefault="00BB0047" w:rsidP="00BB0047">
            <w:pPr>
              <w:pStyle w:val="a9"/>
              <w:numPr>
                <w:ilvl w:val="0"/>
                <w:numId w:val="3"/>
              </w:numPr>
              <w:bidi/>
              <w:spacing w:before="120" w:after="0" w:line="240" w:lineRule="auto"/>
              <w:ind w:left="398"/>
              <w:contextualSpacing w:val="0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העתק תעודה</w:t>
            </w:r>
          </w:p>
        </w:tc>
        <w:tc>
          <w:tcPr>
            <w:tcW w:w="4508" w:type="dxa"/>
          </w:tcPr>
          <w:p w:rsidR="00BB0047" w:rsidRPr="00BB0047" w:rsidRDefault="00BB0047" w:rsidP="00BB0047">
            <w:pPr>
              <w:bidi/>
              <w:spacing w:before="120"/>
              <w:jc w:val="center"/>
              <w:rPr>
                <w:rFonts w:ascii="David" w:hAnsi="David" w:cs="David"/>
                <w:rtl/>
              </w:rPr>
            </w:pPr>
            <w:r w:rsidRPr="00BB0047">
              <w:rPr>
                <w:rFonts w:ascii="David" w:hAnsi="David" w:cs="David"/>
                <w:rtl/>
              </w:rPr>
              <w:t>25</w:t>
            </w:r>
          </w:p>
        </w:tc>
      </w:tr>
    </w:tbl>
    <w:p w:rsidR="00BB0047" w:rsidRPr="00BB0047" w:rsidRDefault="00BB0047" w:rsidP="00BB0047">
      <w:pPr>
        <w:autoSpaceDE w:val="0"/>
        <w:autoSpaceDN w:val="0"/>
        <w:bidi/>
        <w:adjustRightInd w:val="0"/>
        <w:spacing w:before="360" w:after="0" w:line="240" w:lineRule="auto"/>
        <w:rPr>
          <w:rFonts w:ascii="David" w:eastAsiaTheme="minorHAnsi" w:hAnsi="David" w:cs="David"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 xml:space="preserve">כ"ד בשבט </w:t>
      </w:r>
      <w:proofErr w:type="spellStart"/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התשס"ז</w:t>
      </w:r>
      <w:proofErr w:type="spellEnd"/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 xml:space="preserve"> 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(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12 בפברואר 2007</w:t>
      </w:r>
      <w:r w:rsidRPr="00BB0047">
        <w:rPr>
          <w:rFonts w:ascii="David" w:eastAsiaTheme="minorHAnsi" w:hAnsi="David" w:cs="David"/>
          <w:sz w:val="20"/>
          <w:szCs w:val="20"/>
          <w:rtl/>
          <w:lang w:val="en-IL"/>
        </w:rPr>
        <w:t>)</w:t>
      </w:r>
    </w:p>
    <w:p w:rsidR="00BB0047" w:rsidRPr="00BB0047" w:rsidRDefault="00BB0047" w:rsidP="00BB0047">
      <w:pPr>
        <w:autoSpaceDE w:val="0"/>
        <w:autoSpaceDN w:val="0"/>
        <w:bidi/>
        <w:adjustRightInd w:val="0"/>
        <w:spacing w:before="240" w:after="0" w:line="240" w:lineRule="auto"/>
        <w:ind w:left="5199"/>
        <w:jc w:val="center"/>
        <w:rPr>
          <w:rFonts w:ascii="David" w:eastAsiaTheme="minorHAnsi" w:hAnsi="David" w:cs="David"/>
          <w:b/>
          <w:bCs/>
          <w:sz w:val="20"/>
          <w:szCs w:val="20"/>
          <w:lang w:val="en-IL"/>
        </w:rPr>
      </w:pP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>יצחק ולד</w:t>
      </w:r>
    </w:p>
    <w:p w:rsidR="00BB0047" w:rsidRPr="00BB0047" w:rsidRDefault="00BB0047" w:rsidP="00BB0047">
      <w:pPr>
        <w:bidi/>
        <w:spacing w:before="120"/>
        <w:ind w:left="5199"/>
        <w:jc w:val="center"/>
        <w:rPr>
          <w:rFonts w:ascii="David" w:hAnsi="David" w:cs="David"/>
          <w:rtl/>
        </w:rPr>
      </w:pPr>
      <w:r w:rsidRPr="00BB0047">
        <w:rPr>
          <w:rFonts w:ascii="David" w:eastAsiaTheme="minorHAnsi" w:hAnsi="David" w:cs="David"/>
          <w:b/>
          <w:bCs/>
          <w:sz w:val="20"/>
          <w:szCs w:val="20"/>
          <w:rtl/>
          <w:lang w:val="en-IL"/>
        </w:rPr>
        <w:t>ראש הוועדה הקרואה באקה ג'ת</w:t>
      </w:r>
    </w:p>
    <w:sectPr w:rsidR="00BB0047" w:rsidRPr="00BB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267"/>
    <w:multiLevelType w:val="hybridMultilevel"/>
    <w:tmpl w:val="AB64B460"/>
    <w:lvl w:ilvl="0" w:tplc="9F32CC2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66EE"/>
    <w:multiLevelType w:val="hybridMultilevel"/>
    <w:tmpl w:val="DE829AC4"/>
    <w:lvl w:ilvl="0" w:tplc="AA5AB644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23F85"/>
    <w:multiLevelType w:val="hybridMultilevel"/>
    <w:tmpl w:val="C65646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00653"/>
    <w:multiLevelType w:val="hybridMultilevel"/>
    <w:tmpl w:val="7C88EA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47"/>
    <w:rsid w:val="002772D8"/>
    <w:rsid w:val="00B5232C"/>
    <w:rsid w:val="00B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6F94"/>
  <w15:chartTrackingRefBased/>
  <w15:docId w15:val="{CAEDEB1D-98B5-4B4D-8296-CDD013A4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232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B0047"/>
    <w:pPr>
      <w:autoSpaceDE w:val="0"/>
      <w:autoSpaceDN w:val="0"/>
      <w:bidi/>
      <w:adjustRightInd w:val="0"/>
      <w:spacing w:after="0" w:line="240" w:lineRule="auto"/>
      <w:jc w:val="center"/>
      <w:outlineLvl w:val="0"/>
    </w:pPr>
    <w:rPr>
      <w:rFonts w:ascii="David" w:eastAsiaTheme="minorHAnsi" w:hAnsi="David" w:cs="David"/>
      <w:b/>
      <w:bCs/>
      <w:sz w:val="36"/>
      <w:szCs w:val="36"/>
      <w:lang w:val="en-IL"/>
    </w:rPr>
  </w:style>
  <w:style w:type="paragraph" w:styleId="2">
    <w:name w:val="heading 2"/>
    <w:basedOn w:val="a"/>
    <w:next w:val="a"/>
    <w:link w:val="20"/>
    <w:uiPriority w:val="9"/>
    <w:qFormat/>
    <w:rsid w:val="00BB0047"/>
    <w:pPr>
      <w:autoSpaceDE w:val="0"/>
      <w:autoSpaceDN w:val="0"/>
      <w:bidi/>
      <w:adjustRightInd w:val="0"/>
      <w:spacing w:before="240" w:after="0" w:line="240" w:lineRule="auto"/>
      <w:outlineLvl w:val="1"/>
    </w:pPr>
    <w:rPr>
      <w:rFonts w:ascii="David" w:eastAsiaTheme="minorHAnsi" w:hAnsi="David" w:cs="David"/>
      <w:b/>
      <w:bCs/>
      <w:sz w:val="21"/>
      <w:szCs w:val="21"/>
      <w:lang w:val="en-IL"/>
    </w:rPr>
  </w:style>
  <w:style w:type="paragraph" w:styleId="3">
    <w:name w:val="heading 3"/>
    <w:basedOn w:val="a"/>
    <w:next w:val="a"/>
    <w:link w:val="30"/>
    <w:uiPriority w:val="9"/>
    <w:qFormat/>
    <w:rsid w:val="00BB0047"/>
    <w:pPr>
      <w:bidi/>
      <w:jc w:val="center"/>
      <w:outlineLvl w:val="2"/>
    </w:pPr>
    <w:rPr>
      <w:rFonts w:ascii="David" w:eastAsiaTheme="minorHAnsi" w:hAnsi="David" w:cs="David"/>
      <w:sz w:val="21"/>
      <w:szCs w:val="21"/>
      <w:lang w:val="en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5232C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5232C"/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5232C"/>
    <w:rPr>
      <w:rFonts w:ascii="Tahoma" w:eastAsiaTheme="minorEastAsia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B5232C"/>
    <w:pPr>
      <w:spacing w:after="160" w:line="259" w:lineRule="auto"/>
      <w:ind w:left="720"/>
      <w:contextualSpacing/>
    </w:pPr>
    <w:rPr>
      <w:rFonts w:eastAsiaTheme="minorHAnsi"/>
    </w:rPr>
  </w:style>
  <w:style w:type="table" w:styleId="aa">
    <w:name w:val="Table Grid"/>
    <w:basedOn w:val="a1"/>
    <w:uiPriority w:val="59"/>
    <w:rsid w:val="00BB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BB0047"/>
    <w:rPr>
      <w:rFonts w:ascii="David" w:hAnsi="David" w:cs="David"/>
      <w:b/>
      <w:bCs/>
      <w:sz w:val="36"/>
      <w:szCs w:val="36"/>
      <w:lang w:val="en-IL"/>
    </w:rPr>
  </w:style>
  <w:style w:type="character" w:customStyle="1" w:styleId="20">
    <w:name w:val="כותרת 2 תו"/>
    <w:basedOn w:val="a0"/>
    <w:link w:val="2"/>
    <w:uiPriority w:val="9"/>
    <w:rsid w:val="00BB0047"/>
    <w:rPr>
      <w:rFonts w:ascii="David" w:hAnsi="David" w:cs="David"/>
      <w:b/>
      <w:bCs/>
      <w:sz w:val="21"/>
      <w:szCs w:val="21"/>
      <w:lang w:val="en-IL"/>
    </w:rPr>
  </w:style>
  <w:style w:type="character" w:customStyle="1" w:styleId="30">
    <w:name w:val="כותרת 3 תו"/>
    <w:basedOn w:val="a0"/>
    <w:link w:val="3"/>
    <w:uiPriority w:val="9"/>
    <w:rsid w:val="00BB0047"/>
    <w:rPr>
      <w:rFonts w:ascii="David" w:hAnsi="David" w:cs="David"/>
      <w:sz w:val="21"/>
      <w:szCs w:val="21"/>
      <w:lang w:val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C7DE8-3977-4A70-865C-57DBC3D5C155}"/>
</file>

<file path=customXml/itemProps2.xml><?xml version="1.0" encoding="utf-8"?>
<ds:datastoreItem xmlns:ds="http://schemas.openxmlformats.org/officeDocument/2006/customXml" ds:itemID="{2D7C59A8-61A1-45AD-941B-D63DEDD829E7}"/>
</file>

<file path=customXml/itemProps3.xml><?xml version="1.0" encoding="utf-8"?>
<ds:datastoreItem xmlns:ds="http://schemas.openxmlformats.org/officeDocument/2006/customXml" ds:itemID="{4C1DFE90-07FB-43EC-A986-051C5D9B2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לבאקה ג'ת (אגרת תעודת אישור), התשס"ח - 2007</dc:title>
  <dc:subject/>
  <dc:creator>Ester</dc:creator>
  <cp:keywords/>
  <dc:description/>
  <cp:lastModifiedBy>Ester</cp:lastModifiedBy>
  <cp:revision>1</cp:revision>
  <dcterms:created xsi:type="dcterms:W3CDTF">2018-01-09T14:28:00Z</dcterms:created>
  <dcterms:modified xsi:type="dcterms:W3CDTF">2018-01-09T14:40:00Z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